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24035" w14:textId="633B0DD0" w:rsidR="00EF6CC4" w:rsidRDefault="00EF6CC4" w:rsidP="00C60505">
      <w:pPr>
        <w:jc w:val="center"/>
        <w:rPr>
          <w:b/>
        </w:rPr>
      </w:pPr>
      <w:r w:rsidRPr="00CB26A7">
        <w:rPr>
          <w:b/>
        </w:rPr>
        <w:t xml:space="preserve">Ranking </w:t>
      </w:r>
      <w:r w:rsidR="00C60505">
        <w:rPr>
          <w:b/>
        </w:rPr>
        <w:t xml:space="preserve">and Bonus </w:t>
      </w:r>
      <w:r w:rsidR="00F9478E">
        <w:rPr>
          <w:b/>
        </w:rPr>
        <w:t xml:space="preserve">Policy </w:t>
      </w:r>
      <w:r w:rsidR="00155281">
        <w:rPr>
          <w:b/>
        </w:rPr>
        <w:t>Decisions</w:t>
      </w:r>
    </w:p>
    <w:p w14:paraId="330634E7" w14:textId="6B8DCD63" w:rsidR="00233EFF" w:rsidRDefault="00DF0EC8" w:rsidP="00010A82">
      <w:pPr>
        <w:jc w:val="center"/>
        <w:rPr>
          <w:b/>
        </w:rPr>
      </w:pPr>
      <w:r>
        <w:rPr>
          <w:b/>
        </w:rPr>
        <w:t>CT BOS 201</w:t>
      </w:r>
      <w:r w:rsidR="00B942DD">
        <w:rPr>
          <w:b/>
        </w:rPr>
        <w:t>8</w:t>
      </w:r>
      <w:r w:rsidR="00ED5147">
        <w:rPr>
          <w:b/>
        </w:rPr>
        <w:t xml:space="preserve"> CoC Application</w:t>
      </w:r>
    </w:p>
    <w:p w14:paraId="1028614E" w14:textId="1D773826" w:rsidR="00010A82" w:rsidRPr="00CB26A7" w:rsidRDefault="00C84050" w:rsidP="00010A82">
      <w:pPr>
        <w:jc w:val="center"/>
        <w:rPr>
          <w:b/>
        </w:rPr>
      </w:pPr>
      <w:r>
        <w:rPr>
          <w:b/>
        </w:rPr>
        <w:t>Approved by Steering Committee</w:t>
      </w:r>
      <w:r w:rsidR="00B942DD">
        <w:rPr>
          <w:b/>
        </w:rPr>
        <w:t xml:space="preserve"> </w:t>
      </w:r>
      <w:r w:rsidR="00EE554D">
        <w:rPr>
          <w:b/>
        </w:rPr>
        <w:t>8/1</w:t>
      </w:r>
      <w:r>
        <w:rPr>
          <w:b/>
        </w:rPr>
        <w:t>7</w:t>
      </w:r>
      <w:r w:rsidR="00EE554D">
        <w:rPr>
          <w:b/>
        </w:rPr>
        <w:t>/201</w:t>
      </w:r>
      <w:r w:rsidR="00B942DD">
        <w:rPr>
          <w:b/>
        </w:rPr>
        <w:t>8</w:t>
      </w:r>
    </w:p>
    <w:p w14:paraId="578F95C6" w14:textId="3A0D2D3A" w:rsidR="00DE7F31" w:rsidRPr="00ED5147" w:rsidRDefault="00ED5147" w:rsidP="00F65122">
      <w:pPr>
        <w:jc w:val="both"/>
        <w:rPr>
          <w:b/>
        </w:rPr>
      </w:pPr>
      <w:r>
        <w:rPr>
          <w:b/>
        </w:rPr>
        <w:t xml:space="preserve">2018 </w:t>
      </w:r>
      <w:r w:rsidR="003159BB">
        <w:rPr>
          <w:b/>
        </w:rPr>
        <w:t xml:space="preserve">Ranking and Bonus </w:t>
      </w:r>
      <w:r w:rsidR="00155281">
        <w:rPr>
          <w:b/>
        </w:rPr>
        <w:t xml:space="preserve">Policy </w:t>
      </w:r>
      <w:r>
        <w:rPr>
          <w:b/>
        </w:rPr>
        <w:t>Decisions:</w:t>
      </w:r>
    </w:p>
    <w:p w14:paraId="3A71C2B8" w14:textId="68F2A787" w:rsidR="00A91303" w:rsidRPr="00453341" w:rsidRDefault="00A91303" w:rsidP="00A91303">
      <w:pPr>
        <w:pStyle w:val="ListParagraph"/>
        <w:numPr>
          <w:ilvl w:val="0"/>
          <w:numId w:val="15"/>
        </w:numPr>
        <w:jc w:val="both"/>
        <w:rPr>
          <w:b/>
        </w:rPr>
      </w:pPr>
      <w:r w:rsidRPr="00453341">
        <w:rPr>
          <w:b/>
        </w:rPr>
        <w:t xml:space="preserve">General </w:t>
      </w:r>
      <w:r w:rsidR="00121C44">
        <w:rPr>
          <w:b/>
        </w:rPr>
        <w:t>R</w:t>
      </w:r>
      <w:r w:rsidRPr="00453341">
        <w:rPr>
          <w:b/>
        </w:rPr>
        <w:t xml:space="preserve">anking </w:t>
      </w:r>
      <w:r w:rsidR="00121C44">
        <w:rPr>
          <w:b/>
        </w:rPr>
        <w:t>O</w:t>
      </w:r>
      <w:r w:rsidRPr="00453341">
        <w:rPr>
          <w:b/>
        </w:rPr>
        <w:t>rder</w:t>
      </w:r>
      <w:r w:rsidR="00DD559D">
        <w:rPr>
          <w:b/>
        </w:rPr>
        <w:t>:</w:t>
      </w:r>
      <w:r w:rsidR="008E1B13" w:rsidRPr="00453341">
        <w:rPr>
          <w:b/>
        </w:rPr>
        <w:t xml:space="preserve"> </w:t>
      </w:r>
    </w:p>
    <w:p w14:paraId="3947D500" w14:textId="77777777" w:rsidR="00A91303" w:rsidRPr="00E519E2" w:rsidRDefault="00A91303" w:rsidP="00A91303">
      <w:pPr>
        <w:pStyle w:val="ListParagraph"/>
        <w:numPr>
          <w:ilvl w:val="0"/>
          <w:numId w:val="11"/>
        </w:numPr>
        <w:rPr>
          <w:rFonts w:ascii="Arial" w:eastAsia="Times New Roman" w:hAnsi="Arial" w:cs="Arial"/>
          <w:sz w:val="20"/>
          <w:szCs w:val="20"/>
        </w:rPr>
      </w:pPr>
      <w:r w:rsidRPr="0090649F">
        <w:t>Renewal</w:t>
      </w:r>
      <w:r>
        <w:t xml:space="preserve"> Projects that have been evaluated in order of CT BOS CoC Evaluation Score, HMIS</w:t>
      </w:r>
      <w:r w:rsidR="00453341">
        <w:t>, reallocations</w:t>
      </w:r>
      <w:r>
        <w:t xml:space="preserve"> and Coordinated Entry projects</w:t>
      </w:r>
      <w:r w:rsidR="00DD559D">
        <w:t xml:space="preserve"> in Tier 1</w:t>
      </w:r>
    </w:p>
    <w:p w14:paraId="13C337C5" w14:textId="4344EFEC" w:rsidR="00A91303" w:rsidRDefault="00DD559D" w:rsidP="00A91303">
      <w:pPr>
        <w:pStyle w:val="ListParagraph"/>
        <w:numPr>
          <w:ilvl w:val="0"/>
          <w:numId w:val="10"/>
        </w:numPr>
      </w:pPr>
      <w:r>
        <w:t>Followed by f</w:t>
      </w:r>
      <w:r w:rsidR="00A91303" w:rsidRPr="00DF0EC8">
        <w:t>irst time Renewal</w:t>
      </w:r>
      <w:r w:rsidR="00A91303">
        <w:t xml:space="preserve"> Projects</w:t>
      </w:r>
      <w:r w:rsidR="00A91303" w:rsidRPr="00DF0EC8">
        <w:t xml:space="preserve"> </w:t>
      </w:r>
      <w:r w:rsidR="00A91303">
        <w:t>that</w:t>
      </w:r>
      <w:r w:rsidR="00A91303" w:rsidRPr="00DF0EC8">
        <w:t xml:space="preserve"> </w:t>
      </w:r>
      <w:r w:rsidR="00A91303">
        <w:t>have not yet been evaluated ranked to provide the maximum score on the relative ranking factor (1-X)</w:t>
      </w:r>
      <w:r w:rsidR="00121C44">
        <w:t>, mostly in Tier 2</w:t>
      </w:r>
    </w:p>
    <w:p w14:paraId="433F4114" w14:textId="2ADF20FB" w:rsidR="00A91303" w:rsidRDefault="00DD559D" w:rsidP="00A91303">
      <w:pPr>
        <w:pStyle w:val="ListParagraph"/>
        <w:numPr>
          <w:ilvl w:val="0"/>
          <w:numId w:val="10"/>
        </w:numPr>
      </w:pPr>
      <w:r>
        <w:t xml:space="preserve">Followed by </w:t>
      </w:r>
      <w:r w:rsidR="00A91303">
        <w:t xml:space="preserve">New </w:t>
      </w:r>
      <w:r>
        <w:t>P</w:t>
      </w:r>
      <w:r w:rsidR="00A91303">
        <w:t>rojects  - regular and DV bonuses</w:t>
      </w:r>
      <w:r w:rsidR="004307C6">
        <w:t xml:space="preserve"> in order of </w:t>
      </w:r>
      <w:r>
        <w:t>preferred</w:t>
      </w:r>
      <w:r w:rsidR="004307C6">
        <w:t xml:space="preserve"> mathematical advantage for the CoC</w:t>
      </w:r>
      <w:r w:rsidR="00121C44">
        <w:t xml:space="preserve">, </w:t>
      </w:r>
      <w:r w:rsidR="00985958">
        <w:t>also in Tier 2</w:t>
      </w:r>
    </w:p>
    <w:p w14:paraId="6CB0852A" w14:textId="4F4A95EA" w:rsidR="008E1B13" w:rsidRPr="004307C6" w:rsidRDefault="00C84050" w:rsidP="00845FD2">
      <w:pPr>
        <w:pStyle w:val="ListParagraph"/>
        <w:rPr>
          <w:b/>
          <w:i/>
        </w:rPr>
      </w:pPr>
      <w:r>
        <w:rPr>
          <w:b/>
          <w:i/>
        </w:rPr>
        <w:t xml:space="preserve">Motion: To approve the general </w:t>
      </w:r>
      <w:r w:rsidR="00513429">
        <w:rPr>
          <w:b/>
          <w:i/>
        </w:rPr>
        <w:t>ranking order</w:t>
      </w:r>
      <w:r>
        <w:rPr>
          <w:b/>
          <w:i/>
        </w:rPr>
        <w:t xml:space="preserve">. Motion </w:t>
      </w:r>
      <w:r w:rsidR="002A4A39">
        <w:rPr>
          <w:b/>
          <w:i/>
        </w:rPr>
        <w:t>passes.</w:t>
      </w:r>
    </w:p>
    <w:p w14:paraId="4AF1817C" w14:textId="77777777" w:rsidR="00A91303" w:rsidRDefault="00A91303" w:rsidP="00A91303">
      <w:pPr>
        <w:pStyle w:val="ListParagraph"/>
      </w:pPr>
    </w:p>
    <w:p w14:paraId="0881C7B6" w14:textId="4DDEEF26" w:rsidR="00845FD2" w:rsidRPr="00771901" w:rsidRDefault="00F23FA7" w:rsidP="00771901">
      <w:pPr>
        <w:pStyle w:val="ListParagraph"/>
        <w:numPr>
          <w:ilvl w:val="0"/>
          <w:numId w:val="15"/>
        </w:numPr>
        <w:jc w:val="both"/>
        <w:rPr>
          <w:b/>
        </w:rPr>
      </w:pPr>
      <w:r w:rsidRPr="00453341">
        <w:rPr>
          <w:b/>
        </w:rPr>
        <w:t xml:space="preserve">General </w:t>
      </w:r>
      <w:r w:rsidR="00DE7F31" w:rsidRPr="00453341">
        <w:rPr>
          <w:b/>
        </w:rPr>
        <w:t xml:space="preserve">Bonus Allocation: </w:t>
      </w:r>
      <w:r w:rsidR="00ED5147" w:rsidRPr="00453341">
        <w:rPr>
          <w:b/>
        </w:rPr>
        <w:t>($2,056,022)</w:t>
      </w:r>
      <w:r w:rsidR="00771901">
        <w:rPr>
          <w:b/>
        </w:rPr>
        <w:t xml:space="preserve"> </w:t>
      </w:r>
    </w:p>
    <w:p w14:paraId="7E186B5E" w14:textId="09DBE88B" w:rsidR="00155281" w:rsidRDefault="00155281" w:rsidP="002A4A39">
      <w:pPr>
        <w:pStyle w:val="ListParagraph"/>
        <w:numPr>
          <w:ilvl w:val="0"/>
          <w:numId w:val="22"/>
        </w:numPr>
        <w:ind w:left="720"/>
        <w:jc w:val="both"/>
      </w:pPr>
      <w:r>
        <w:t>Allocate the bonus funds in thirds</w:t>
      </w:r>
    </w:p>
    <w:p w14:paraId="51113B12" w14:textId="4AE9E9FF" w:rsidR="00A91303" w:rsidRDefault="00155281" w:rsidP="002A4A39">
      <w:pPr>
        <w:pStyle w:val="ListParagraph"/>
        <w:numPr>
          <w:ilvl w:val="0"/>
          <w:numId w:val="22"/>
        </w:numPr>
        <w:ind w:left="720"/>
        <w:jc w:val="both"/>
      </w:pPr>
      <w:r>
        <w:t xml:space="preserve">The </w:t>
      </w:r>
      <w:r w:rsidR="00853E1A">
        <w:t>CoC will divide the bonus into three</w:t>
      </w:r>
      <w:r>
        <w:t xml:space="preserve"> applications</w:t>
      </w:r>
      <w:r w:rsidR="00853E1A">
        <w:t>: two at $</w:t>
      </w:r>
      <w:r w:rsidR="00405323">
        <w:t>6</w:t>
      </w:r>
      <w:r>
        <w:t>85,341 each</w:t>
      </w:r>
      <w:r w:rsidR="00853E1A">
        <w:t xml:space="preserve"> and one at $685,340</w:t>
      </w:r>
    </w:p>
    <w:p w14:paraId="3DD524F2" w14:textId="170226E0" w:rsidR="004307C6" w:rsidRDefault="00845FD2" w:rsidP="002A4A39">
      <w:pPr>
        <w:pStyle w:val="ListParagraph"/>
        <w:jc w:val="both"/>
        <w:rPr>
          <w:b/>
          <w:i/>
        </w:rPr>
      </w:pPr>
      <w:r>
        <w:rPr>
          <w:b/>
          <w:i/>
        </w:rPr>
        <w:t>Motion</w:t>
      </w:r>
      <w:r w:rsidR="00771901">
        <w:rPr>
          <w:b/>
          <w:i/>
        </w:rPr>
        <w:t xml:space="preserve">: To approve the </w:t>
      </w:r>
      <w:r w:rsidR="00155281">
        <w:rPr>
          <w:b/>
          <w:i/>
        </w:rPr>
        <w:t xml:space="preserve">general </w:t>
      </w:r>
      <w:r w:rsidR="00771901">
        <w:rPr>
          <w:b/>
          <w:i/>
        </w:rPr>
        <w:t>bonus allocat</w:t>
      </w:r>
      <w:r w:rsidR="002A4A39">
        <w:rPr>
          <w:b/>
          <w:i/>
        </w:rPr>
        <w:t>ion.  Motion passes.</w:t>
      </w:r>
    </w:p>
    <w:p w14:paraId="34F71B80" w14:textId="77777777" w:rsidR="00790AFC" w:rsidRPr="00790AFC" w:rsidRDefault="00790AFC" w:rsidP="00790AFC">
      <w:pPr>
        <w:pStyle w:val="ListParagraph"/>
        <w:jc w:val="both"/>
      </w:pPr>
    </w:p>
    <w:p w14:paraId="06E6D133" w14:textId="77777777" w:rsidR="008E1B13" w:rsidRPr="00DD559D" w:rsidRDefault="004307C6" w:rsidP="004307C6">
      <w:pPr>
        <w:pStyle w:val="ListParagraph"/>
        <w:numPr>
          <w:ilvl w:val="0"/>
          <w:numId w:val="15"/>
        </w:numPr>
        <w:jc w:val="both"/>
        <w:rPr>
          <w:b/>
        </w:rPr>
      </w:pPr>
      <w:r w:rsidRPr="00DD559D">
        <w:rPr>
          <w:b/>
        </w:rPr>
        <w:t>Types of Bonus Projects</w:t>
      </w:r>
      <w:r w:rsidR="005F04F9">
        <w:rPr>
          <w:b/>
        </w:rPr>
        <w:t xml:space="preserve"> for General Bonus</w:t>
      </w:r>
    </w:p>
    <w:p w14:paraId="532EB7AC" w14:textId="28777362" w:rsidR="00A418FE" w:rsidRDefault="00AE7EC0" w:rsidP="002A4A39">
      <w:pPr>
        <w:pStyle w:val="ListParagraph"/>
        <w:numPr>
          <w:ilvl w:val="0"/>
          <w:numId w:val="18"/>
        </w:numPr>
        <w:jc w:val="both"/>
      </w:pPr>
      <w:r>
        <w:t xml:space="preserve">Applications were received for PSH and RRH.  Last year, BOS submitted two PSH projects and one was funded.  </w:t>
      </w:r>
    </w:p>
    <w:p w14:paraId="42492178" w14:textId="77777777" w:rsidR="00D93667" w:rsidRPr="002A4A39" w:rsidRDefault="00F23FA7" w:rsidP="00A418FE">
      <w:pPr>
        <w:pStyle w:val="ListParagraph"/>
        <w:numPr>
          <w:ilvl w:val="0"/>
          <w:numId w:val="18"/>
        </w:numPr>
        <w:jc w:val="both"/>
      </w:pPr>
      <w:r w:rsidRPr="00A418FE">
        <w:rPr>
          <w:b/>
          <w:i/>
        </w:rPr>
        <w:t>Vote on whether to fund RRH, PSH or both</w:t>
      </w:r>
      <w:r w:rsidR="00790AFC" w:rsidRPr="00A418FE">
        <w:rPr>
          <w:b/>
          <w:i/>
        </w:rPr>
        <w:t xml:space="preserve">.  If SC </w:t>
      </w:r>
      <w:r w:rsidR="006814E6" w:rsidRPr="00A418FE">
        <w:rPr>
          <w:b/>
          <w:i/>
        </w:rPr>
        <w:t>decid</w:t>
      </w:r>
      <w:r w:rsidR="00DD559D" w:rsidRPr="00A418FE">
        <w:rPr>
          <w:b/>
          <w:i/>
        </w:rPr>
        <w:t xml:space="preserve">ed to fund both models and </w:t>
      </w:r>
      <w:r w:rsidR="00790AFC" w:rsidRPr="00A418FE">
        <w:rPr>
          <w:b/>
          <w:i/>
        </w:rPr>
        <w:t>has chosen Scenario 1</w:t>
      </w:r>
      <w:r w:rsidR="00DD559D" w:rsidRPr="00A418FE">
        <w:rPr>
          <w:b/>
          <w:i/>
        </w:rPr>
        <w:t xml:space="preserve"> in dec</w:t>
      </w:r>
      <w:r w:rsidR="00790AFC" w:rsidRPr="00A418FE">
        <w:rPr>
          <w:b/>
          <w:i/>
        </w:rPr>
        <w:t>ision a</w:t>
      </w:r>
      <w:r w:rsidR="00DD559D" w:rsidRPr="00A418FE">
        <w:rPr>
          <w:b/>
          <w:i/>
        </w:rPr>
        <w:t>b</w:t>
      </w:r>
      <w:r w:rsidR="00790AFC" w:rsidRPr="00A418FE">
        <w:rPr>
          <w:b/>
          <w:i/>
        </w:rPr>
        <w:t>ove, determine allocat</w:t>
      </w:r>
      <w:r w:rsidR="00DD559D" w:rsidRPr="00A418FE">
        <w:rPr>
          <w:b/>
          <w:i/>
        </w:rPr>
        <w:t>ion</w:t>
      </w:r>
      <w:r w:rsidR="000320E5" w:rsidRPr="00A418FE">
        <w:rPr>
          <w:b/>
          <w:i/>
        </w:rPr>
        <w:t xml:space="preserve"> of funds into thirds.</w:t>
      </w:r>
    </w:p>
    <w:p w14:paraId="09924C9F" w14:textId="4E0B6B67" w:rsidR="002A4A39" w:rsidRPr="00A418FE" w:rsidRDefault="002A4A39" w:rsidP="002A4A39">
      <w:pPr>
        <w:pStyle w:val="ListParagraph"/>
        <w:jc w:val="both"/>
      </w:pPr>
      <w:r>
        <w:rPr>
          <w:b/>
          <w:i/>
        </w:rPr>
        <w:t>Motion: To fund both RRH and PSH.  The order of the applications to be 1) RRH 2) PSH 3) RRH.  Motion passes.</w:t>
      </w:r>
    </w:p>
    <w:p w14:paraId="0A95C639" w14:textId="77777777" w:rsidR="00FD4994" w:rsidRDefault="00FD4994" w:rsidP="00FD4994">
      <w:pPr>
        <w:pStyle w:val="ListParagraph"/>
        <w:jc w:val="both"/>
        <w:rPr>
          <w:b/>
        </w:rPr>
      </w:pPr>
    </w:p>
    <w:p w14:paraId="2EE23314" w14:textId="19EB5F04" w:rsidR="005F04F9" w:rsidRDefault="00FD4994" w:rsidP="005F04F9">
      <w:pPr>
        <w:pStyle w:val="ListParagraph"/>
        <w:numPr>
          <w:ilvl w:val="0"/>
          <w:numId w:val="15"/>
        </w:numPr>
        <w:jc w:val="both"/>
        <w:rPr>
          <w:b/>
        </w:rPr>
      </w:pPr>
      <w:r>
        <w:rPr>
          <w:b/>
        </w:rPr>
        <w:t>Recommendations f</w:t>
      </w:r>
      <w:r w:rsidR="000159CA">
        <w:rPr>
          <w:b/>
        </w:rPr>
        <w:t xml:space="preserve">rom the New Project Scoring Committee </w:t>
      </w:r>
      <w:r w:rsidR="00564CD4">
        <w:rPr>
          <w:b/>
        </w:rPr>
        <w:t xml:space="preserve">and Steering Committee </w:t>
      </w:r>
      <w:r w:rsidR="000159CA">
        <w:rPr>
          <w:b/>
        </w:rPr>
        <w:t xml:space="preserve">for structure and programming in  </w:t>
      </w:r>
      <w:r w:rsidR="00527794">
        <w:rPr>
          <w:b/>
        </w:rPr>
        <w:t>Regular (Non-DV) Bonus Projects</w:t>
      </w:r>
      <w:r w:rsidR="00564CD4">
        <w:rPr>
          <w:b/>
        </w:rPr>
        <w:t>:</w:t>
      </w:r>
    </w:p>
    <w:p w14:paraId="36CE4CD9" w14:textId="77777777" w:rsidR="00A418FE" w:rsidRDefault="00A418FE" w:rsidP="00A418FE">
      <w:pPr>
        <w:pStyle w:val="ListParagraph"/>
        <w:numPr>
          <w:ilvl w:val="0"/>
          <w:numId w:val="19"/>
        </w:numPr>
        <w:jc w:val="both"/>
      </w:pPr>
      <w:r>
        <w:t>Fund only the top 4 RRH and</w:t>
      </w:r>
      <w:r w:rsidR="00527794">
        <w:t>/or</w:t>
      </w:r>
      <w:r>
        <w:t xml:space="preserve"> top 3 PSH projects </w:t>
      </w:r>
      <w:r w:rsidR="00831B64">
        <w:t xml:space="preserve">for the general bonus </w:t>
      </w:r>
      <w:r>
        <w:t xml:space="preserve">with no CAN receiving more than one project.  </w:t>
      </w:r>
    </w:p>
    <w:p w14:paraId="2366FEB8" w14:textId="703656ED" w:rsidR="00831B64" w:rsidRDefault="00831B64" w:rsidP="00831B64">
      <w:pPr>
        <w:pStyle w:val="ListParagraph"/>
        <w:numPr>
          <w:ilvl w:val="0"/>
          <w:numId w:val="19"/>
        </w:numPr>
      </w:pPr>
      <w:r>
        <w:t>Project budgets for new units should be allocated</w:t>
      </w:r>
      <w:r w:rsidR="00D95AFF">
        <w:t xml:space="preserve"> based on the BNL for each CAN or </w:t>
      </w:r>
      <w:r w:rsidR="003A06F4">
        <w:t>similar logic of need  based on methodology determined by DOH.</w:t>
      </w:r>
    </w:p>
    <w:p w14:paraId="4146A32C" w14:textId="77777777" w:rsidR="00831B64" w:rsidRDefault="00831B64" w:rsidP="00831B64">
      <w:pPr>
        <w:pStyle w:val="ListParagraph"/>
        <w:numPr>
          <w:ilvl w:val="0"/>
          <w:numId w:val="19"/>
        </w:numPr>
      </w:pPr>
      <w:r>
        <w:t xml:space="preserve">Project budgets for services only for </w:t>
      </w:r>
      <w:r w:rsidRPr="00831B64">
        <w:rPr>
          <w:i/>
        </w:rPr>
        <w:t>existing</w:t>
      </w:r>
      <w:r>
        <w:t xml:space="preserve"> tenants should be allocated based on a formula using a standard proportion of those unserved in the existing program or a similar equitable standard that can be applied across programs/CANs.</w:t>
      </w:r>
    </w:p>
    <w:p w14:paraId="4DEEB004" w14:textId="77777777" w:rsidR="005F04F9" w:rsidRPr="005F04F9" w:rsidRDefault="00A418FE" w:rsidP="00A418FE">
      <w:pPr>
        <w:pStyle w:val="ListParagraph"/>
        <w:numPr>
          <w:ilvl w:val="0"/>
          <w:numId w:val="19"/>
        </w:numPr>
        <w:jc w:val="both"/>
      </w:pPr>
      <w:r>
        <w:t xml:space="preserve">The </w:t>
      </w:r>
      <w:r w:rsidR="005F04F9" w:rsidRPr="005F04F9">
        <w:t xml:space="preserve">State of CT </w:t>
      </w:r>
      <w:r>
        <w:t>should be the</w:t>
      </w:r>
      <w:r w:rsidR="005F04F9" w:rsidRPr="005F04F9">
        <w:t xml:space="preserve"> applicant for funding with providers as sub-recipients</w:t>
      </w:r>
      <w:r>
        <w:t>.</w:t>
      </w:r>
    </w:p>
    <w:p w14:paraId="58E36BE8" w14:textId="77777777" w:rsidR="005F04F9" w:rsidRDefault="005F04F9" w:rsidP="00A418FE">
      <w:pPr>
        <w:pStyle w:val="ListParagraph"/>
        <w:numPr>
          <w:ilvl w:val="0"/>
          <w:numId w:val="19"/>
        </w:numPr>
        <w:jc w:val="both"/>
      </w:pPr>
      <w:r w:rsidRPr="005F04F9">
        <w:t xml:space="preserve">The rental assistance administrator for all new RRH projects </w:t>
      </w:r>
      <w:r w:rsidR="00A418FE">
        <w:t>should be the</w:t>
      </w:r>
      <w:r w:rsidRPr="005F04F9">
        <w:t xml:space="preserve"> same entity that the State of CT </w:t>
      </w:r>
      <w:r>
        <w:t>uses to administer other federal and state rental assistance resources</w:t>
      </w:r>
      <w:r w:rsidR="00A418FE">
        <w:t>.</w:t>
      </w:r>
    </w:p>
    <w:p w14:paraId="27AF970C" w14:textId="04DAF9CA" w:rsidR="00831B64" w:rsidRDefault="00831B64" w:rsidP="00831B64">
      <w:pPr>
        <w:pStyle w:val="ListParagraph"/>
        <w:numPr>
          <w:ilvl w:val="0"/>
          <w:numId w:val="19"/>
        </w:numPr>
      </w:pPr>
      <w:r>
        <w:t xml:space="preserve">All projects should be encouraged to request supportive services funding at a level that ensures quality services are provided and includes resources for supervision of direct care staff.  </w:t>
      </w:r>
    </w:p>
    <w:p w14:paraId="16427331" w14:textId="4FC621D1" w:rsidR="005F04F9" w:rsidRDefault="00192830" w:rsidP="00192830">
      <w:pPr>
        <w:pStyle w:val="ListParagraph"/>
        <w:jc w:val="both"/>
        <w:rPr>
          <w:b/>
          <w:i/>
        </w:rPr>
      </w:pPr>
      <w:r>
        <w:rPr>
          <w:b/>
          <w:i/>
        </w:rPr>
        <w:t>Motion: T</w:t>
      </w:r>
      <w:r w:rsidR="005C487F" w:rsidRPr="005C487F">
        <w:rPr>
          <w:b/>
          <w:i/>
        </w:rPr>
        <w:t xml:space="preserve">o adopt the above recommendations from the </w:t>
      </w:r>
      <w:r w:rsidR="00A01C9A">
        <w:rPr>
          <w:b/>
          <w:i/>
        </w:rPr>
        <w:t>Scoring C</w:t>
      </w:r>
      <w:r>
        <w:rPr>
          <w:b/>
          <w:i/>
        </w:rPr>
        <w:t>ommittee and Steering Committee.</w:t>
      </w:r>
      <w:r w:rsidR="005C487F" w:rsidRPr="005C487F">
        <w:rPr>
          <w:b/>
          <w:i/>
        </w:rPr>
        <w:t xml:space="preserve">  </w:t>
      </w:r>
      <w:r>
        <w:rPr>
          <w:b/>
          <w:i/>
        </w:rPr>
        <w:t>Motion passes.</w:t>
      </w:r>
    </w:p>
    <w:p w14:paraId="0E49CB63" w14:textId="77777777" w:rsidR="00A01C9A" w:rsidRPr="005C487F" w:rsidRDefault="00A01C9A" w:rsidP="00A01C9A">
      <w:pPr>
        <w:pStyle w:val="ListParagraph"/>
        <w:jc w:val="both"/>
        <w:rPr>
          <w:b/>
          <w:i/>
        </w:rPr>
      </w:pPr>
    </w:p>
    <w:p w14:paraId="27E86487" w14:textId="19655088" w:rsidR="007569F1" w:rsidRDefault="007569F1">
      <w:pPr>
        <w:rPr>
          <w:b/>
        </w:rPr>
      </w:pPr>
    </w:p>
    <w:p w14:paraId="400C4B5D" w14:textId="1E2260CD" w:rsidR="005F04F9" w:rsidRPr="00A01C9A" w:rsidRDefault="005C487F" w:rsidP="00FD4994">
      <w:pPr>
        <w:pStyle w:val="ListParagraph"/>
        <w:numPr>
          <w:ilvl w:val="0"/>
          <w:numId w:val="15"/>
        </w:numPr>
        <w:jc w:val="both"/>
        <w:rPr>
          <w:b/>
        </w:rPr>
      </w:pPr>
      <w:r w:rsidRPr="00A01C9A">
        <w:rPr>
          <w:b/>
        </w:rPr>
        <w:t>Specific Recommendations for the DV Bonus</w:t>
      </w:r>
      <w:r w:rsidR="00527794">
        <w:rPr>
          <w:b/>
        </w:rPr>
        <w:t xml:space="preserve"> from the DV Scoring Committee</w:t>
      </w:r>
      <w:r w:rsidR="00564CD4">
        <w:rPr>
          <w:b/>
        </w:rPr>
        <w:t xml:space="preserve"> and Steering Committee:</w:t>
      </w:r>
    </w:p>
    <w:p w14:paraId="3EFDFC55" w14:textId="50D8C5E2" w:rsidR="00A01C9A" w:rsidRDefault="00A01C9A" w:rsidP="003A06F4">
      <w:pPr>
        <w:pStyle w:val="ListParagraph"/>
        <w:numPr>
          <w:ilvl w:val="0"/>
          <w:numId w:val="19"/>
        </w:numPr>
      </w:pPr>
      <w:r>
        <w:t xml:space="preserve">Units for the project should be allocated according to need </w:t>
      </w:r>
      <w:r w:rsidR="003A06F4">
        <w:t xml:space="preserve">and based on </w:t>
      </w:r>
      <w:r w:rsidR="00155281">
        <w:t xml:space="preserve">the DV </w:t>
      </w:r>
      <w:r w:rsidR="003A06F4">
        <w:t>BNL for each CAN.</w:t>
      </w:r>
    </w:p>
    <w:p w14:paraId="30C625B7" w14:textId="77777777" w:rsidR="00A01C9A" w:rsidRDefault="00A01C9A" w:rsidP="00A01C9A">
      <w:pPr>
        <w:pStyle w:val="ListParagraph"/>
        <w:numPr>
          <w:ilvl w:val="0"/>
          <w:numId w:val="21"/>
        </w:numPr>
      </w:pPr>
      <w:r>
        <w:t xml:space="preserve">DOH should apply as the grantee (like all new RRH) with CCADV as a subrecipient.  CCADV could then contract with providers to provide the housing location and support services.  RRH should be preferably provided by agencies with experience in providing RRH.  </w:t>
      </w:r>
    </w:p>
    <w:p w14:paraId="3CA1B958" w14:textId="6BCFA472" w:rsidR="00A01C9A" w:rsidRDefault="00A01C9A" w:rsidP="00A01C9A">
      <w:pPr>
        <w:pStyle w:val="ListParagraph"/>
        <w:numPr>
          <w:ilvl w:val="0"/>
          <w:numId w:val="21"/>
        </w:numPr>
        <w:jc w:val="both"/>
      </w:pPr>
      <w:r>
        <w:t xml:space="preserve">Service providers in the project must commit to be active members of the CAN and attend CAN meetings. If awarded funds by HUD, CCADV should institute a </w:t>
      </w:r>
      <w:r w:rsidR="00FE3A0D">
        <w:t>formal</w:t>
      </w:r>
      <w:r>
        <w:t xml:space="preserve"> process for </w:t>
      </w:r>
      <w:r w:rsidR="00564CD4">
        <w:t xml:space="preserve">service </w:t>
      </w:r>
      <w:r>
        <w:t xml:space="preserve">providers to apply </w:t>
      </w:r>
      <w:r w:rsidR="00564CD4">
        <w:t>for funds.</w:t>
      </w:r>
    </w:p>
    <w:p w14:paraId="235032F9" w14:textId="40FC0E50" w:rsidR="00ED02E7" w:rsidRDefault="00ED02E7" w:rsidP="00A01C9A">
      <w:pPr>
        <w:pStyle w:val="ListParagraph"/>
        <w:numPr>
          <w:ilvl w:val="0"/>
          <w:numId w:val="21"/>
        </w:numPr>
        <w:jc w:val="both"/>
      </w:pPr>
      <w:r>
        <w:t>For continuity and consistency, rental assistance for the DV bonus should be administered by the same rental administrator that is currently used by the State of CT for existing homeless services programs</w:t>
      </w:r>
      <w:r w:rsidR="00FE3A0D">
        <w:t xml:space="preserve"> </w:t>
      </w:r>
      <w:r w:rsidR="00FE3A0D">
        <w:rPr>
          <w:rFonts w:cs="Times"/>
        </w:rPr>
        <w:t>if permissible under VAWA and other applicable regulations.</w:t>
      </w:r>
    </w:p>
    <w:p w14:paraId="10651A4D" w14:textId="77777777" w:rsidR="00192830" w:rsidRDefault="00192830" w:rsidP="00192830">
      <w:pPr>
        <w:pStyle w:val="ListParagraph"/>
        <w:jc w:val="both"/>
        <w:rPr>
          <w:b/>
          <w:i/>
        </w:rPr>
      </w:pPr>
      <w:r>
        <w:rPr>
          <w:b/>
          <w:i/>
        </w:rPr>
        <w:t>Motion: T</w:t>
      </w:r>
      <w:r w:rsidRPr="005C487F">
        <w:rPr>
          <w:b/>
          <w:i/>
        </w:rPr>
        <w:t xml:space="preserve">o adopt the above recommendations from the </w:t>
      </w:r>
      <w:r>
        <w:rPr>
          <w:b/>
          <w:i/>
        </w:rPr>
        <w:t>Scoring Committee and Steering Committee.</w:t>
      </w:r>
      <w:r w:rsidRPr="005C487F">
        <w:rPr>
          <w:b/>
          <w:i/>
        </w:rPr>
        <w:t xml:space="preserve">  </w:t>
      </w:r>
      <w:r>
        <w:rPr>
          <w:b/>
          <w:i/>
        </w:rPr>
        <w:t>Motion passes.</w:t>
      </w:r>
    </w:p>
    <w:p w14:paraId="263055AE" w14:textId="77777777" w:rsidR="00A01C9A" w:rsidRPr="005F04F9" w:rsidRDefault="00A01C9A" w:rsidP="00A01C9A">
      <w:pPr>
        <w:pStyle w:val="ListParagraph"/>
        <w:jc w:val="both"/>
      </w:pPr>
    </w:p>
    <w:p w14:paraId="2753AD9C" w14:textId="77777777" w:rsidR="005F04F9" w:rsidRPr="005F04F9" w:rsidRDefault="005F04F9" w:rsidP="005F04F9">
      <w:pPr>
        <w:jc w:val="both"/>
        <w:rPr>
          <w:sz w:val="2"/>
          <w:szCs w:val="2"/>
        </w:rPr>
      </w:pPr>
      <w:bookmarkStart w:id="0" w:name="_GoBack"/>
      <w:bookmarkEnd w:id="0"/>
    </w:p>
    <w:sectPr w:rsidR="005F04F9" w:rsidRPr="005F04F9" w:rsidSect="007569F1">
      <w:headerReference w:type="default" r:id="rId7"/>
      <w:headerReference w:type="first" r:id="rId8"/>
      <w:pgSz w:w="12240" w:h="15840"/>
      <w:pgMar w:top="1008" w:right="864"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1540C" w14:textId="77777777" w:rsidR="00CA7173" w:rsidRDefault="00CA7173" w:rsidP="002F7908">
      <w:pPr>
        <w:spacing w:after="0" w:line="240" w:lineRule="auto"/>
      </w:pPr>
      <w:r>
        <w:separator/>
      </w:r>
    </w:p>
  </w:endnote>
  <w:endnote w:type="continuationSeparator" w:id="0">
    <w:p w14:paraId="74059966" w14:textId="77777777" w:rsidR="00CA7173" w:rsidRDefault="00CA7173" w:rsidP="002F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A93D7" w14:textId="77777777" w:rsidR="00CA7173" w:rsidRDefault="00CA7173" w:rsidP="002F7908">
      <w:pPr>
        <w:spacing w:after="0" w:line="240" w:lineRule="auto"/>
      </w:pPr>
      <w:r>
        <w:separator/>
      </w:r>
    </w:p>
  </w:footnote>
  <w:footnote w:type="continuationSeparator" w:id="0">
    <w:p w14:paraId="128B3A86" w14:textId="77777777" w:rsidR="00CA7173" w:rsidRDefault="00CA7173" w:rsidP="002F7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C98C" w14:textId="7C6D5887" w:rsidR="000320E5" w:rsidRDefault="000320E5" w:rsidP="00A01C9A">
    <w:pPr>
      <w:pStyle w:val="Header"/>
      <w:jc w:val="right"/>
    </w:pPr>
    <w:r>
      <w:t xml:space="preserve">Ranking and Bonus Policy </w:t>
    </w:r>
    <w:r w:rsidR="00155281">
      <w:t>Decisions</w:t>
    </w:r>
    <w:r>
      <w:t xml:space="preserve"> – Page </w:t>
    </w:r>
    <w:r>
      <w:fldChar w:fldCharType="begin"/>
    </w:r>
    <w:r>
      <w:instrText xml:space="preserve"> PAGE   \* MERGEFORMAT </w:instrText>
    </w:r>
    <w:r>
      <w:fldChar w:fldCharType="separate"/>
    </w:r>
    <w:r w:rsidR="00853E1A">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7CCF" w14:textId="77777777" w:rsidR="00403ECD" w:rsidRDefault="00403ECD">
    <w:pPr>
      <w:pStyle w:val="Header"/>
    </w:pPr>
    <w:r>
      <w:rPr>
        <w:noProof/>
      </w:rPr>
      <w:drawing>
        <wp:anchor distT="0" distB="0" distL="114300" distR="114300" simplePos="0" relativeHeight="251659264" behindDoc="0" locked="0" layoutInCell="1" allowOverlap="1" wp14:anchorId="3EA5DDFB" wp14:editId="7C41ADF6">
          <wp:simplePos x="0" y="0"/>
          <wp:positionH relativeFrom="page">
            <wp:posOffset>457200</wp:posOffset>
          </wp:positionH>
          <wp:positionV relativeFrom="page">
            <wp:posOffset>457200</wp:posOffset>
          </wp:positionV>
          <wp:extent cx="6870724" cy="68580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93E"/>
    <w:multiLevelType w:val="hybridMultilevel"/>
    <w:tmpl w:val="B4943A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B69D7"/>
    <w:multiLevelType w:val="hybridMultilevel"/>
    <w:tmpl w:val="77E64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42825"/>
    <w:multiLevelType w:val="hybridMultilevel"/>
    <w:tmpl w:val="AB9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210A2"/>
    <w:multiLevelType w:val="hybridMultilevel"/>
    <w:tmpl w:val="6FAC7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5B31E3"/>
    <w:multiLevelType w:val="hybridMultilevel"/>
    <w:tmpl w:val="0BE6E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36A78"/>
    <w:multiLevelType w:val="hybridMultilevel"/>
    <w:tmpl w:val="956E1882"/>
    <w:lvl w:ilvl="0" w:tplc="04090001">
      <w:start w:val="1"/>
      <w:numFmt w:val="bullet"/>
      <w:lvlText w:val=""/>
      <w:lvlJc w:val="left"/>
      <w:pPr>
        <w:ind w:left="720" w:hanging="360"/>
      </w:pPr>
      <w:rPr>
        <w:rFonts w:ascii="Symbol" w:hAnsi="Symbol" w:hint="default"/>
      </w:rPr>
    </w:lvl>
    <w:lvl w:ilvl="1" w:tplc="9F5C1E3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06C05"/>
    <w:multiLevelType w:val="hybridMultilevel"/>
    <w:tmpl w:val="E0C47964"/>
    <w:lvl w:ilvl="0" w:tplc="9F5C1E3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F0063"/>
    <w:multiLevelType w:val="hybridMultilevel"/>
    <w:tmpl w:val="5B8EF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A33A7"/>
    <w:multiLevelType w:val="hybridMultilevel"/>
    <w:tmpl w:val="8D66E6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9796D"/>
    <w:multiLevelType w:val="hybridMultilevel"/>
    <w:tmpl w:val="044E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C6A16"/>
    <w:multiLevelType w:val="hybridMultilevel"/>
    <w:tmpl w:val="5B7AC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BE7E37"/>
    <w:multiLevelType w:val="hybridMultilevel"/>
    <w:tmpl w:val="AD647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615DB7"/>
    <w:multiLevelType w:val="hybridMultilevel"/>
    <w:tmpl w:val="0C42B9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94A1F"/>
    <w:multiLevelType w:val="hybridMultilevel"/>
    <w:tmpl w:val="933A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844FD"/>
    <w:multiLevelType w:val="hybridMultilevel"/>
    <w:tmpl w:val="0BE6E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41D8A"/>
    <w:multiLevelType w:val="hybridMultilevel"/>
    <w:tmpl w:val="EAA690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82FDF"/>
    <w:multiLevelType w:val="hybridMultilevel"/>
    <w:tmpl w:val="7EA4C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4821F2"/>
    <w:multiLevelType w:val="hybridMultilevel"/>
    <w:tmpl w:val="CF660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C255FD"/>
    <w:multiLevelType w:val="hybridMultilevel"/>
    <w:tmpl w:val="2D882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152BD6"/>
    <w:multiLevelType w:val="hybridMultilevel"/>
    <w:tmpl w:val="D4902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133F9B"/>
    <w:multiLevelType w:val="hybridMultilevel"/>
    <w:tmpl w:val="9712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B21E5"/>
    <w:multiLevelType w:val="hybridMultilevel"/>
    <w:tmpl w:val="4E0CA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3"/>
  </w:num>
  <w:num w:numId="4">
    <w:abstractNumId w:val="2"/>
  </w:num>
  <w:num w:numId="5">
    <w:abstractNumId w:val="4"/>
  </w:num>
  <w:num w:numId="6">
    <w:abstractNumId w:val="14"/>
  </w:num>
  <w:num w:numId="7">
    <w:abstractNumId w:val="19"/>
  </w:num>
  <w:num w:numId="8">
    <w:abstractNumId w:val="9"/>
  </w:num>
  <w:num w:numId="9">
    <w:abstractNumId w:val="12"/>
  </w:num>
  <w:num w:numId="10">
    <w:abstractNumId w:val="0"/>
  </w:num>
  <w:num w:numId="11">
    <w:abstractNumId w:val="13"/>
  </w:num>
  <w:num w:numId="12">
    <w:abstractNumId w:val="18"/>
  </w:num>
  <w:num w:numId="13">
    <w:abstractNumId w:val="16"/>
  </w:num>
  <w:num w:numId="14">
    <w:abstractNumId w:val="10"/>
  </w:num>
  <w:num w:numId="15">
    <w:abstractNumId w:val="6"/>
  </w:num>
  <w:num w:numId="16">
    <w:abstractNumId w:val="7"/>
  </w:num>
  <w:num w:numId="17">
    <w:abstractNumId w:val="5"/>
  </w:num>
  <w:num w:numId="18">
    <w:abstractNumId w:val="15"/>
  </w:num>
  <w:num w:numId="19">
    <w:abstractNumId w:val="17"/>
  </w:num>
  <w:num w:numId="20">
    <w:abstractNumId w:val="21"/>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B5"/>
    <w:rsid w:val="00010A82"/>
    <w:rsid w:val="000159CA"/>
    <w:rsid w:val="000320E5"/>
    <w:rsid w:val="00041F73"/>
    <w:rsid w:val="0004422F"/>
    <w:rsid w:val="00080868"/>
    <w:rsid w:val="000A56D5"/>
    <w:rsid w:val="000B0EF7"/>
    <w:rsid w:val="00121C44"/>
    <w:rsid w:val="001507AD"/>
    <w:rsid w:val="00155281"/>
    <w:rsid w:val="00192830"/>
    <w:rsid w:val="00233EFF"/>
    <w:rsid w:val="002723DE"/>
    <w:rsid w:val="002A4A39"/>
    <w:rsid w:val="002C00CA"/>
    <w:rsid w:val="002C66CB"/>
    <w:rsid w:val="002F7908"/>
    <w:rsid w:val="003159BB"/>
    <w:rsid w:val="00333728"/>
    <w:rsid w:val="0036476E"/>
    <w:rsid w:val="003A06F4"/>
    <w:rsid w:val="003F2282"/>
    <w:rsid w:val="003F3C5C"/>
    <w:rsid w:val="00403ECD"/>
    <w:rsid w:val="00405323"/>
    <w:rsid w:val="00427692"/>
    <w:rsid w:val="004307C6"/>
    <w:rsid w:val="004420E0"/>
    <w:rsid w:val="00453341"/>
    <w:rsid w:val="00460639"/>
    <w:rsid w:val="0046430C"/>
    <w:rsid w:val="00486C91"/>
    <w:rsid w:val="004F083A"/>
    <w:rsid w:val="00501DB5"/>
    <w:rsid w:val="005129AA"/>
    <w:rsid w:val="00513429"/>
    <w:rsid w:val="0052072F"/>
    <w:rsid w:val="00527794"/>
    <w:rsid w:val="005309FA"/>
    <w:rsid w:val="00543821"/>
    <w:rsid w:val="00564CD4"/>
    <w:rsid w:val="005C487F"/>
    <w:rsid w:val="005F04F9"/>
    <w:rsid w:val="005F3DC5"/>
    <w:rsid w:val="00613E6E"/>
    <w:rsid w:val="006161C8"/>
    <w:rsid w:val="00627D80"/>
    <w:rsid w:val="00630793"/>
    <w:rsid w:val="00633F8D"/>
    <w:rsid w:val="00664FEF"/>
    <w:rsid w:val="006814E6"/>
    <w:rsid w:val="006C5B25"/>
    <w:rsid w:val="006F2654"/>
    <w:rsid w:val="006F5B6B"/>
    <w:rsid w:val="00752870"/>
    <w:rsid w:val="007569F1"/>
    <w:rsid w:val="00771901"/>
    <w:rsid w:val="0078746E"/>
    <w:rsid w:val="00790AFC"/>
    <w:rsid w:val="007C57B0"/>
    <w:rsid w:val="007D20C8"/>
    <w:rsid w:val="007E3FC9"/>
    <w:rsid w:val="007E5E24"/>
    <w:rsid w:val="007F2901"/>
    <w:rsid w:val="00831B64"/>
    <w:rsid w:val="00833166"/>
    <w:rsid w:val="008374D9"/>
    <w:rsid w:val="00845FD2"/>
    <w:rsid w:val="00853E1A"/>
    <w:rsid w:val="008E1B13"/>
    <w:rsid w:val="0090649F"/>
    <w:rsid w:val="00907E49"/>
    <w:rsid w:val="00922746"/>
    <w:rsid w:val="009340F2"/>
    <w:rsid w:val="00940C68"/>
    <w:rsid w:val="009455F6"/>
    <w:rsid w:val="00946284"/>
    <w:rsid w:val="0096374D"/>
    <w:rsid w:val="00985958"/>
    <w:rsid w:val="009D32A4"/>
    <w:rsid w:val="00A01C9A"/>
    <w:rsid w:val="00A24042"/>
    <w:rsid w:val="00A418FE"/>
    <w:rsid w:val="00A65279"/>
    <w:rsid w:val="00A810DE"/>
    <w:rsid w:val="00A82B6B"/>
    <w:rsid w:val="00A91303"/>
    <w:rsid w:val="00AE474E"/>
    <w:rsid w:val="00AE7EC0"/>
    <w:rsid w:val="00B074DD"/>
    <w:rsid w:val="00B35C37"/>
    <w:rsid w:val="00B35DA5"/>
    <w:rsid w:val="00B619AC"/>
    <w:rsid w:val="00B942DD"/>
    <w:rsid w:val="00BA15B5"/>
    <w:rsid w:val="00BA5BAA"/>
    <w:rsid w:val="00BA67B5"/>
    <w:rsid w:val="00C06DD3"/>
    <w:rsid w:val="00C07560"/>
    <w:rsid w:val="00C51796"/>
    <w:rsid w:val="00C60505"/>
    <w:rsid w:val="00C84050"/>
    <w:rsid w:val="00CA2429"/>
    <w:rsid w:val="00CA528B"/>
    <w:rsid w:val="00CA7173"/>
    <w:rsid w:val="00CB26A7"/>
    <w:rsid w:val="00CB3FAC"/>
    <w:rsid w:val="00CC1650"/>
    <w:rsid w:val="00CD6B6D"/>
    <w:rsid w:val="00D578CD"/>
    <w:rsid w:val="00D62B12"/>
    <w:rsid w:val="00D93667"/>
    <w:rsid w:val="00D95AFF"/>
    <w:rsid w:val="00DD0CBD"/>
    <w:rsid w:val="00DD559D"/>
    <w:rsid w:val="00DE7F31"/>
    <w:rsid w:val="00DF0EC8"/>
    <w:rsid w:val="00DF5186"/>
    <w:rsid w:val="00E10378"/>
    <w:rsid w:val="00E47D71"/>
    <w:rsid w:val="00E519E2"/>
    <w:rsid w:val="00EA7F4B"/>
    <w:rsid w:val="00EB4E70"/>
    <w:rsid w:val="00ED02E7"/>
    <w:rsid w:val="00ED5147"/>
    <w:rsid w:val="00EE554D"/>
    <w:rsid w:val="00EF6CC4"/>
    <w:rsid w:val="00F20DBE"/>
    <w:rsid w:val="00F23FA7"/>
    <w:rsid w:val="00F331D6"/>
    <w:rsid w:val="00F45FDD"/>
    <w:rsid w:val="00F65122"/>
    <w:rsid w:val="00F9478E"/>
    <w:rsid w:val="00FD4994"/>
    <w:rsid w:val="00FD782E"/>
    <w:rsid w:val="00FE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1004"/>
  <w15:chartTrackingRefBased/>
  <w15:docId w15:val="{B8F12CCF-C766-4318-9A52-68927275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6A7"/>
    <w:pPr>
      <w:ind w:left="720"/>
      <w:contextualSpacing/>
    </w:pPr>
  </w:style>
  <w:style w:type="paragraph" w:styleId="Header">
    <w:name w:val="header"/>
    <w:basedOn w:val="Normal"/>
    <w:link w:val="HeaderChar"/>
    <w:uiPriority w:val="99"/>
    <w:unhideWhenUsed/>
    <w:rsid w:val="002F7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908"/>
  </w:style>
  <w:style w:type="paragraph" w:styleId="Footer">
    <w:name w:val="footer"/>
    <w:basedOn w:val="Normal"/>
    <w:link w:val="FooterChar"/>
    <w:uiPriority w:val="99"/>
    <w:unhideWhenUsed/>
    <w:rsid w:val="002F7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908"/>
  </w:style>
  <w:style w:type="table" w:styleId="TableGrid">
    <w:name w:val="Table Grid"/>
    <w:basedOn w:val="TableNormal"/>
    <w:uiPriority w:val="39"/>
    <w:rsid w:val="00633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E0"/>
    <w:rPr>
      <w:rFonts w:ascii="Segoe UI" w:hAnsi="Segoe UI" w:cs="Segoe UI"/>
      <w:sz w:val="18"/>
      <w:szCs w:val="18"/>
    </w:rPr>
  </w:style>
  <w:style w:type="character" w:styleId="CommentReference">
    <w:name w:val="annotation reference"/>
    <w:basedOn w:val="DefaultParagraphFont"/>
    <w:uiPriority w:val="99"/>
    <w:semiHidden/>
    <w:unhideWhenUsed/>
    <w:rsid w:val="00985958"/>
    <w:rPr>
      <w:sz w:val="16"/>
      <w:szCs w:val="16"/>
    </w:rPr>
  </w:style>
  <w:style w:type="paragraph" w:styleId="CommentText">
    <w:name w:val="annotation text"/>
    <w:basedOn w:val="Normal"/>
    <w:link w:val="CommentTextChar"/>
    <w:uiPriority w:val="99"/>
    <w:semiHidden/>
    <w:unhideWhenUsed/>
    <w:rsid w:val="00985958"/>
    <w:pPr>
      <w:spacing w:line="240" w:lineRule="auto"/>
    </w:pPr>
    <w:rPr>
      <w:sz w:val="20"/>
      <w:szCs w:val="20"/>
    </w:rPr>
  </w:style>
  <w:style w:type="character" w:customStyle="1" w:styleId="CommentTextChar">
    <w:name w:val="Comment Text Char"/>
    <w:basedOn w:val="DefaultParagraphFont"/>
    <w:link w:val="CommentText"/>
    <w:uiPriority w:val="99"/>
    <w:semiHidden/>
    <w:rsid w:val="00985958"/>
    <w:rPr>
      <w:sz w:val="20"/>
      <w:szCs w:val="20"/>
    </w:rPr>
  </w:style>
  <w:style w:type="paragraph" w:styleId="CommentSubject">
    <w:name w:val="annotation subject"/>
    <w:basedOn w:val="CommentText"/>
    <w:next w:val="CommentText"/>
    <w:link w:val="CommentSubjectChar"/>
    <w:uiPriority w:val="99"/>
    <w:semiHidden/>
    <w:unhideWhenUsed/>
    <w:rsid w:val="00985958"/>
    <w:rPr>
      <w:b/>
      <w:bCs/>
    </w:rPr>
  </w:style>
  <w:style w:type="character" w:customStyle="1" w:styleId="CommentSubjectChar">
    <w:name w:val="Comment Subject Char"/>
    <w:basedOn w:val="CommentTextChar"/>
    <w:link w:val="CommentSubject"/>
    <w:uiPriority w:val="99"/>
    <w:semiHidden/>
    <w:rsid w:val="00985958"/>
    <w:rPr>
      <w:b/>
      <w:bCs/>
      <w:sz w:val="20"/>
      <w:szCs w:val="20"/>
    </w:rPr>
  </w:style>
  <w:style w:type="paragraph" w:styleId="Revision">
    <w:name w:val="Revision"/>
    <w:hidden/>
    <w:uiPriority w:val="99"/>
    <w:semiHidden/>
    <w:rsid w:val="00985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81794">
      <w:bodyDiv w:val="1"/>
      <w:marLeft w:val="0"/>
      <w:marRight w:val="0"/>
      <w:marTop w:val="0"/>
      <w:marBottom w:val="0"/>
      <w:divBdr>
        <w:top w:val="none" w:sz="0" w:space="0" w:color="auto"/>
        <w:left w:val="none" w:sz="0" w:space="0" w:color="auto"/>
        <w:bottom w:val="none" w:sz="0" w:space="0" w:color="auto"/>
        <w:right w:val="none" w:sz="0" w:space="0" w:color="auto"/>
      </w:divBdr>
    </w:div>
    <w:div w:id="879628421">
      <w:bodyDiv w:val="1"/>
      <w:marLeft w:val="0"/>
      <w:marRight w:val="0"/>
      <w:marTop w:val="0"/>
      <w:marBottom w:val="0"/>
      <w:divBdr>
        <w:top w:val="none" w:sz="0" w:space="0" w:color="auto"/>
        <w:left w:val="none" w:sz="0" w:space="0" w:color="auto"/>
        <w:bottom w:val="none" w:sz="0" w:space="0" w:color="auto"/>
        <w:right w:val="none" w:sz="0" w:space="0" w:color="auto"/>
      </w:divBdr>
    </w:div>
    <w:div w:id="1014384287">
      <w:bodyDiv w:val="1"/>
      <w:marLeft w:val="0"/>
      <w:marRight w:val="0"/>
      <w:marTop w:val="0"/>
      <w:marBottom w:val="0"/>
      <w:divBdr>
        <w:top w:val="none" w:sz="0" w:space="0" w:color="auto"/>
        <w:left w:val="none" w:sz="0" w:space="0" w:color="auto"/>
        <w:bottom w:val="none" w:sz="0" w:space="0" w:color="auto"/>
        <w:right w:val="none" w:sz="0" w:space="0" w:color="auto"/>
      </w:divBdr>
    </w:div>
    <w:div w:id="1408768669">
      <w:bodyDiv w:val="1"/>
      <w:marLeft w:val="0"/>
      <w:marRight w:val="0"/>
      <w:marTop w:val="0"/>
      <w:marBottom w:val="0"/>
      <w:divBdr>
        <w:top w:val="none" w:sz="0" w:space="0" w:color="auto"/>
        <w:left w:val="none" w:sz="0" w:space="0" w:color="auto"/>
        <w:bottom w:val="none" w:sz="0" w:space="0" w:color="auto"/>
        <w:right w:val="none" w:sz="0" w:space="0" w:color="auto"/>
      </w:divBdr>
    </w:div>
    <w:div w:id="16157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Wagner</dc:creator>
  <cp:keywords/>
  <dc:description/>
  <cp:lastModifiedBy>Liz Isaacs</cp:lastModifiedBy>
  <cp:revision>2</cp:revision>
  <cp:lastPrinted>2017-08-18T12:21:00Z</cp:lastPrinted>
  <dcterms:created xsi:type="dcterms:W3CDTF">2018-08-22T12:17:00Z</dcterms:created>
  <dcterms:modified xsi:type="dcterms:W3CDTF">2018-08-22T12:17:00Z</dcterms:modified>
</cp:coreProperties>
</file>