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60F8B" w14:textId="1CD1DA90" w:rsidR="008C2B86" w:rsidRDefault="00040B7A" w:rsidP="008C2B86">
      <w:pPr>
        <w:jc w:val="center"/>
        <w:rPr>
          <w:rFonts w:ascii="Calibri" w:hAnsi="Calibri"/>
          <w:b/>
          <w:sz w:val="24"/>
          <w:szCs w:val="24"/>
        </w:rPr>
      </w:pPr>
      <w:bookmarkStart w:id="0" w:name="_GoBack"/>
      <w:bookmarkEnd w:id="0"/>
      <w:r w:rsidRPr="00040B7A">
        <w:rPr>
          <w:rFonts w:ascii="Calibri" w:hAnsi="Calibri"/>
          <w:b/>
          <w:sz w:val="24"/>
          <w:szCs w:val="24"/>
        </w:rPr>
        <w:t xml:space="preserve">Overview of Proposed </w:t>
      </w:r>
      <w:r w:rsidR="00382674">
        <w:rPr>
          <w:rFonts w:ascii="Calibri" w:hAnsi="Calibri"/>
          <w:b/>
          <w:sz w:val="24"/>
          <w:szCs w:val="24"/>
        </w:rPr>
        <w:t xml:space="preserve">YHDP </w:t>
      </w:r>
      <w:r w:rsidRPr="00040B7A">
        <w:rPr>
          <w:rFonts w:ascii="Calibri" w:hAnsi="Calibri"/>
          <w:b/>
          <w:sz w:val="24"/>
          <w:szCs w:val="24"/>
        </w:rPr>
        <w:t xml:space="preserve">Rapid Rehousing Written Standards </w:t>
      </w:r>
      <w:r w:rsidR="008C2B86">
        <w:rPr>
          <w:rFonts w:ascii="Calibri" w:hAnsi="Calibri"/>
          <w:b/>
          <w:sz w:val="24"/>
          <w:szCs w:val="24"/>
        </w:rPr>
        <w:t xml:space="preserve"> </w:t>
      </w:r>
    </w:p>
    <w:p w14:paraId="3D78E7E3" w14:textId="1A296E97" w:rsidR="003D4EBA" w:rsidRDefault="00AD2853" w:rsidP="00B34A99">
      <w:pPr>
        <w:jc w:val="center"/>
        <w:rPr>
          <w:rFonts w:ascii="Calibri" w:hAnsi="Calibri"/>
          <w:i/>
          <w:sz w:val="24"/>
          <w:szCs w:val="24"/>
        </w:rPr>
      </w:pPr>
      <w:r>
        <w:rPr>
          <w:rFonts w:ascii="Calibri" w:hAnsi="Calibri"/>
          <w:i/>
          <w:sz w:val="24"/>
          <w:szCs w:val="24"/>
        </w:rPr>
        <w:t xml:space="preserve">November </w:t>
      </w:r>
      <w:r w:rsidR="00F5139F">
        <w:rPr>
          <w:rFonts w:ascii="Calibri" w:hAnsi="Calibri"/>
          <w:i/>
          <w:sz w:val="24"/>
          <w:szCs w:val="24"/>
        </w:rPr>
        <w:t>7</w:t>
      </w:r>
      <w:r w:rsidR="00040B7A" w:rsidRPr="00040B7A">
        <w:rPr>
          <w:rFonts w:ascii="Calibri" w:hAnsi="Calibri"/>
          <w:i/>
          <w:sz w:val="24"/>
          <w:szCs w:val="24"/>
        </w:rPr>
        <w:t>, 2018</w:t>
      </w:r>
    </w:p>
    <w:p w14:paraId="49D52CC5" w14:textId="32D57184" w:rsidR="00A13189" w:rsidRPr="00A13189" w:rsidRDefault="00010A69" w:rsidP="008F0A55">
      <w:pPr>
        <w:rPr>
          <w:rFonts w:ascii="Calibri" w:hAnsi="Calibri"/>
          <w:color w:val="000000" w:themeColor="text1"/>
          <w:sz w:val="24"/>
          <w:szCs w:val="24"/>
        </w:rPr>
      </w:pPr>
      <w:r w:rsidRPr="00A13189">
        <w:rPr>
          <w:rFonts w:ascii="Calibri" w:hAnsi="Calibri"/>
          <w:color w:val="000000" w:themeColor="text1"/>
          <w:sz w:val="24"/>
          <w:szCs w:val="24"/>
        </w:rPr>
        <w:t xml:space="preserve">This document provides an overview of recommendations </w:t>
      </w:r>
      <w:r w:rsidR="00A13189">
        <w:rPr>
          <w:rFonts w:ascii="Calibri" w:hAnsi="Calibri"/>
          <w:color w:val="000000" w:themeColor="text1"/>
          <w:sz w:val="24"/>
          <w:szCs w:val="24"/>
        </w:rPr>
        <w:t xml:space="preserve">to date </w:t>
      </w:r>
      <w:r w:rsidR="00A13189" w:rsidRPr="00A13189">
        <w:rPr>
          <w:rFonts w:ascii="Calibri" w:hAnsi="Calibri"/>
          <w:color w:val="000000" w:themeColor="text1"/>
          <w:sz w:val="24"/>
          <w:szCs w:val="24"/>
        </w:rPr>
        <w:t>from the Rapid Rehousing Workgroup.  The model described is intended to:</w:t>
      </w:r>
    </w:p>
    <w:p w14:paraId="459CCDBE" w14:textId="2C43F573" w:rsidR="00A13189" w:rsidRPr="00A13189" w:rsidRDefault="00A13189" w:rsidP="00A13189">
      <w:pPr>
        <w:pStyle w:val="ListParagraph"/>
        <w:numPr>
          <w:ilvl w:val="0"/>
          <w:numId w:val="14"/>
        </w:numPr>
        <w:rPr>
          <w:rFonts w:ascii="Calibri" w:hAnsi="Calibri"/>
          <w:color w:val="000000" w:themeColor="text1"/>
          <w:sz w:val="24"/>
          <w:szCs w:val="24"/>
        </w:rPr>
      </w:pPr>
      <w:r w:rsidRPr="00A13189">
        <w:rPr>
          <w:rFonts w:ascii="Calibri" w:hAnsi="Calibri"/>
          <w:color w:val="000000" w:themeColor="text1"/>
          <w:sz w:val="24"/>
          <w:szCs w:val="24"/>
        </w:rPr>
        <w:t xml:space="preserve">establish common standards and predictability for the level of assistance available from RRH programs across the CT BOS </w:t>
      </w:r>
      <w:proofErr w:type="spellStart"/>
      <w:r w:rsidRPr="00A13189">
        <w:rPr>
          <w:rFonts w:ascii="Calibri" w:hAnsi="Calibri"/>
          <w:color w:val="000000" w:themeColor="text1"/>
          <w:sz w:val="24"/>
          <w:szCs w:val="24"/>
        </w:rPr>
        <w:t>CoC</w:t>
      </w:r>
      <w:proofErr w:type="spellEnd"/>
      <w:r w:rsidRPr="00A13189">
        <w:rPr>
          <w:rFonts w:ascii="Calibri" w:hAnsi="Calibri"/>
          <w:color w:val="000000" w:themeColor="text1"/>
          <w:sz w:val="24"/>
          <w:szCs w:val="24"/>
        </w:rPr>
        <w:t xml:space="preserve"> regardless of funding source</w:t>
      </w:r>
    </w:p>
    <w:p w14:paraId="24DFC419" w14:textId="3C71CBBA" w:rsidR="008F0A55" w:rsidRPr="00A13189" w:rsidRDefault="00A13189" w:rsidP="00A13189">
      <w:pPr>
        <w:pStyle w:val="ListParagraph"/>
        <w:numPr>
          <w:ilvl w:val="0"/>
          <w:numId w:val="14"/>
        </w:numPr>
        <w:rPr>
          <w:rFonts w:ascii="Calibri" w:hAnsi="Calibri"/>
          <w:color w:val="000000" w:themeColor="text1"/>
          <w:sz w:val="24"/>
          <w:szCs w:val="24"/>
        </w:rPr>
      </w:pPr>
      <w:r w:rsidRPr="00A13189">
        <w:rPr>
          <w:rFonts w:ascii="Calibri" w:hAnsi="Calibri"/>
          <w:color w:val="000000" w:themeColor="text1"/>
          <w:sz w:val="24"/>
          <w:szCs w:val="24"/>
        </w:rPr>
        <w:t>leverage client strengths, conserve resources and provide only the level of assistance necessary to avoid a return to literal homelessness</w:t>
      </w:r>
    </w:p>
    <w:p w14:paraId="6956CDB9" w14:textId="5F9DBE28" w:rsidR="00A13189" w:rsidRPr="00A13189" w:rsidRDefault="00A13189" w:rsidP="00A13189">
      <w:pPr>
        <w:pStyle w:val="ListParagraph"/>
        <w:numPr>
          <w:ilvl w:val="0"/>
          <w:numId w:val="14"/>
        </w:numPr>
        <w:rPr>
          <w:rFonts w:ascii="Calibri" w:hAnsi="Calibri"/>
          <w:color w:val="000000" w:themeColor="text1"/>
          <w:sz w:val="24"/>
          <w:szCs w:val="24"/>
        </w:rPr>
      </w:pPr>
      <w:r w:rsidRPr="00A13189">
        <w:rPr>
          <w:rFonts w:ascii="Calibri" w:hAnsi="Calibri"/>
          <w:color w:val="000000" w:themeColor="text1"/>
          <w:sz w:val="24"/>
          <w:szCs w:val="24"/>
        </w:rPr>
        <w:t>decrease disincentives to participants increasing income</w:t>
      </w:r>
    </w:p>
    <w:p w14:paraId="4194E484" w14:textId="462C1139" w:rsidR="00A13189" w:rsidRPr="00A13189" w:rsidRDefault="00A13189" w:rsidP="00A13189">
      <w:pPr>
        <w:pStyle w:val="ListParagraph"/>
        <w:numPr>
          <w:ilvl w:val="0"/>
          <w:numId w:val="14"/>
        </w:numPr>
        <w:rPr>
          <w:rFonts w:ascii="Calibri" w:hAnsi="Calibri"/>
          <w:color w:val="000000" w:themeColor="text1"/>
          <w:sz w:val="24"/>
          <w:szCs w:val="24"/>
        </w:rPr>
      </w:pPr>
      <w:r w:rsidRPr="00A13189">
        <w:rPr>
          <w:rFonts w:ascii="Calibri" w:hAnsi="Calibri"/>
          <w:color w:val="000000" w:themeColor="text1"/>
          <w:sz w:val="24"/>
          <w:szCs w:val="24"/>
        </w:rPr>
        <w:t>support quickly establishing a habit of tenants paying rent</w:t>
      </w:r>
    </w:p>
    <w:p w14:paraId="239D8662" w14:textId="70F5EB42" w:rsidR="00A13189" w:rsidRPr="00A13189" w:rsidRDefault="00A13189" w:rsidP="00A13189">
      <w:pPr>
        <w:pStyle w:val="ListParagraph"/>
        <w:numPr>
          <w:ilvl w:val="0"/>
          <w:numId w:val="14"/>
        </w:numPr>
        <w:rPr>
          <w:rFonts w:ascii="Calibri" w:hAnsi="Calibri"/>
          <w:color w:val="000000" w:themeColor="text1"/>
          <w:sz w:val="24"/>
          <w:szCs w:val="24"/>
        </w:rPr>
      </w:pPr>
      <w:r w:rsidRPr="00A13189">
        <w:rPr>
          <w:rFonts w:ascii="Calibri" w:hAnsi="Calibri"/>
          <w:color w:val="000000" w:themeColor="text1"/>
          <w:sz w:val="24"/>
          <w:szCs w:val="24"/>
        </w:rPr>
        <w:t>provide the ability to tailor supports necessary to meet clients where they are</w:t>
      </w:r>
    </w:p>
    <w:p w14:paraId="77132629" w14:textId="180BF0B9" w:rsidR="00040B7A" w:rsidRPr="00B34A99" w:rsidRDefault="00040B7A" w:rsidP="00693F7E">
      <w:pPr>
        <w:pStyle w:val="Heading1"/>
        <w:pBdr>
          <w:top w:val="double" w:sz="4" w:space="1" w:color="000000" w:themeColor="text1"/>
          <w:left w:val="double" w:sz="4" w:space="4" w:color="000000" w:themeColor="text1"/>
          <w:bottom w:val="double" w:sz="4" w:space="1" w:color="000000" w:themeColor="text1"/>
          <w:right w:val="double" w:sz="4" w:space="4" w:color="000000" w:themeColor="text1"/>
        </w:pBdr>
        <w:shd w:val="clear" w:color="auto" w:fill="4EB3CF" w:themeFill="accent5"/>
        <w:jc w:val="center"/>
        <w:rPr>
          <w:rFonts w:asciiTheme="minorHAnsi" w:hAnsiTheme="minorHAnsi"/>
          <w:b/>
          <w:szCs w:val="28"/>
        </w:rPr>
      </w:pPr>
      <w:r w:rsidRPr="00B34A99">
        <w:rPr>
          <w:rFonts w:asciiTheme="minorHAnsi" w:hAnsiTheme="minorHAnsi"/>
          <w:b/>
          <w:szCs w:val="28"/>
        </w:rPr>
        <w:t xml:space="preserve">Determining </w:t>
      </w:r>
      <w:r w:rsidR="002F7743">
        <w:rPr>
          <w:rFonts w:asciiTheme="minorHAnsi" w:hAnsiTheme="minorHAnsi"/>
          <w:b/>
          <w:szCs w:val="28"/>
        </w:rPr>
        <w:t xml:space="preserve">YHDP </w:t>
      </w:r>
      <w:r w:rsidRPr="00B34A99">
        <w:rPr>
          <w:rFonts w:asciiTheme="minorHAnsi" w:hAnsiTheme="minorHAnsi"/>
          <w:b/>
          <w:szCs w:val="28"/>
        </w:rPr>
        <w:t>Participant Eligibility</w:t>
      </w:r>
      <w:r w:rsidR="002D1765">
        <w:rPr>
          <w:rFonts w:asciiTheme="minorHAnsi" w:hAnsiTheme="minorHAnsi"/>
          <w:b/>
          <w:szCs w:val="28"/>
        </w:rPr>
        <w:t xml:space="preserve"> and Rent Payment Schedules</w:t>
      </w:r>
    </w:p>
    <w:p w14:paraId="34ABECE1" w14:textId="29E4C475" w:rsidR="00040B7A" w:rsidRPr="00B34A99" w:rsidRDefault="00040B7A" w:rsidP="00040B7A">
      <w:pPr>
        <w:autoSpaceDE w:val="0"/>
        <w:autoSpaceDN w:val="0"/>
        <w:adjustRightInd w:val="0"/>
        <w:spacing w:after="0" w:line="240" w:lineRule="auto"/>
        <w:rPr>
          <w:rFonts w:cs="Times New Roman"/>
          <w:iCs/>
          <w:sz w:val="24"/>
          <w:szCs w:val="24"/>
        </w:rPr>
      </w:pPr>
      <w:r w:rsidRPr="00B34A99">
        <w:rPr>
          <w:rFonts w:cs="Times New Roman"/>
          <w:sz w:val="24"/>
          <w:szCs w:val="24"/>
        </w:rPr>
        <w:t xml:space="preserve">All </w:t>
      </w:r>
      <w:r w:rsidR="00376715" w:rsidRPr="00B34A99">
        <w:rPr>
          <w:rFonts w:cs="Times New Roman"/>
          <w:sz w:val="24"/>
          <w:szCs w:val="24"/>
        </w:rPr>
        <w:t xml:space="preserve">participants </w:t>
      </w:r>
      <w:r w:rsidRPr="00B34A99">
        <w:rPr>
          <w:rFonts w:cs="Times New Roman"/>
          <w:sz w:val="24"/>
          <w:szCs w:val="24"/>
        </w:rPr>
        <w:t xml:space="preserve">must meet each of the following criteria to be eligible for </w:t>
      </w:r>
      <w:r w:rsidR="002F7743">
        <w:rPr>
          <w:rFonts w:cs="Times New Roman"/>
          <w:sz w:val="24"/>
          <w:szCs w:val="24"/>
        </w:rPr>
        <w:t xml:space="preserve">YHDP </w:t>
      </w:r>
      <w:r w:rsidRPr="00B34A99">
        <w:rPr>
          <w:rFonts w:cs="Times New Roman"/>
          <w:sz w:val="24"/>
          <w:szCs w:val="24"/>
        </w:rPr>
        <w:t>Rapid Rehousing (RRH) assistance:</w:t>
      </w:r>
    </w:p>
    <w:p w14:paraId="42AB427D" w14:textId="751DF09B" w:rsidR="00040B7A" w:rsidRPr="00B34A99" w:rsidRDefault="00040B7A" w:rsidP="00040B7A">
      <w:pPr>
        <w:pStyle w:val="ListParagraph"/>
        <w:numPr>
          <w:ilvl w:val="0"/>
          <w:numId w:val="4"/>
        </w:numPr>
        <w:shd w:val="clear" w:color="auto" w:fill="FFFFFF"/>
        <w:spacing w:before="100" w:beforeAutospacing="1" w:after="100" w:afterAutospacing="1" w:line="240" w:lineRule="auto"/>
        <w:ind w:left="720"/>
        <w:rPr>
          <w:rFonts w:eastAsia="Times New Roman" w:cs="Times New Roman"/>
          <w:iCs w:val="0"/>
          <w:color w:val="000000" w:themeColor="text1"/>
          <w:sz w:val="24"/>
          <w:szCs w:val="24"/>
        </w:rPr>
      </w:pPr>
      <w:r w:rsidRPr="00B34A99">
        <w:rPr>
          <w:rFonts w:eastAsia="Times New Roman" w:cs="Times New Roman"/>
          <w:iCs w:val="0"/>
          <w:color w:val="000000" w:themeColor="text1"/>
          <w:sz w:val="24"/>
          <w:szCs w:val="24"/>
        </w:rPr>
        <w:t xml:space="preserve">Be experiencing homelessness (i.e., HUD Category 1 or 4 only) </w:t>
      </w:r>
    </w:p>
    <w:p w14:paraId="2B518243" w14:textId="18A44E0A" w:rsidR="00040B7A" w:rsidRPr="00B34A99" w:rsidRDefault="00040B7A" w:rsidP="00040B7A">
      <w:pPr>
        <w:pStyle w:val="ListParagraph"/>
        <w:numPr>
          <w:ilvl w:val="0"/>
          <w:numId w:val="4"/>
        </w:numPr>
        <w:shd w:val="clear" w:color="auto" w:fill="FFFFFF"/>
        <w:spacing w:before="100" w:beforeAutospacing="1" w:after="100" w:afterAutospacing="1" w:line="240" w:lineRule="auto"/>
        <w:ind w:left="720"/>
        <w:rPr>
          <w:rStyle w:val="Hyperlink"/>
          <w:rFonts w:eastAsia="Times New Roman" w:cs="Times New Roman"/>
          <w:iCs w:val="0"/>
          <w:color w:val="000000" w:themeColor="text1"/>
          <w:sz w:val="24"/>
          <w:szCs w:val="24"/>
          <w:u w:val="none"/>
        </w:rPr>
      </w:pPr>
      <w:r w:rsidRPr="00B34A99">
        <w:rPr>
          <w:rFonts w:eastAsia="Times New Roman" w:cs="Times New Roman"/>
          <w:iCs w:val="0"/>
          <w:color w:val="000000" w:themeColor="text1"/>
          <w:sz w:val="24"/>
          <w:szCs w:val="24"/>
        </w:rPr>
        <w:t>Have gross household income that is below 50% of Area Median Income</w:t>
      </w:r>
      <w:r w:rsidR="00376715" w:rsidRPr="00B34A99">
        <w:rPr>
          <w:rFonts w:eastAsia="Times New Roman" w:cs="Times New Roman"/>
          <w:iCs w:val="0"/>
          <w:color w:val="000000" w:themeColor="text1"/>
          <w:sz w:val="24"/>
          <w:szCs w:val="24"/>
        </w:rPr>
        <w:t xml:space="preserve"> </w:t>
      </w:r>
      <w:r w:rsidR="00054C1A" w:rsidRPr="00B34A99">
        <w:rPr>
          <w:rFonts w:eastAsia="Times New Roman" w:cs="Times New Roman"/>
          <w:iCs w:val="0"/>
          <w:color w:val="000000" w:themeColor="text1"/>
          <w:sz w:val="24"/>
          <w:szCs w:val="24"/>
        </w:rPr>
        <w:t xml:space="preserve">(AMI) </w:t>
      </w:r>
      <w:r w:rsidR="00376715" w:rsidRPr="00B34A99">
        <w:rPr>
          <w:rFonts w:eastAsia="Times New Roman" w:cs="Times New Roman"/>
          <w:iCs w:val="0"/>
          <w:color w:val="000000" w:themeColor="text1"/>
          <w:sz w:val="24"/>
          <w:szCs w:val="24"/>
        </w:rPr>
        <w:t>at project entry</w:t>
      </w:r>
      <w:r w:rsidRPr="00B34A99">
        <w:rPr>
          <w:rFonts w:eastAsia="Times New Roman" w:cs="Times New Roman"/>
          <w:iCs w:val="0"/>
          <w:color w:val="000000" w:themeColor="text1"/>
          <w:sz w:val="24"/>
          <w:szCs w:val="24"/>
        </w:rPr>
        <w:t xml:space="preserve">  </w:t>
      </w:r>
    </w:p>
    <w:p w14:paraId="5534FEDE" w14:textId="7327B6AF" w:rsidR="00054C1A" w:rsidRPr="00B34A99" w:rsidRDefault="00376715" w:rsidP="00054C1A">
      <w:pPr>
        <w:pStyle w:val="ListParagraph"/>
        <w:numPr>
          <w:ilvl w:val="0"/>
          <w:numId w:val="4"/>
        </w:numPr>
        <w:shd w:val="clear" w:color="auto" w:fill="FFFFFF"/>
        <w:spacing w:before="100" w:beforeAutospacing="1" w:after="100" w:afterAutospacing="1" w:line="240" w:lineRule="auto"/>
        <w:ind w:left="720"/>
        <w:rPr>
          <w:rStyle w:val="Hyperlink"/>
          <w:rFonts w:eastAsia="Times New Roman" w:cs="Times New Roman"/>
          <w:iCs w:val="0"/>
          <w:color w:val="000000" w:themeColor="text1"/>
          <w:sz w:val="24"/>
          <w:szCs w:val="24"/>
          <w:u w:val="none"/>
        </w:rPr>
      </w:pPr>
      <w:r w:rsidRPr="00B34A99">
        <w:rPr>
          <w:rStyle w:val="Hyperlink"/>
          <w:rFonts w:eastAsia="Times New Roman" w:cs="Times New Roman"/>
          <w:iCs w:val="0"/>
          <w:color w:val="000000" w:themeColor="text1"/>
          <w:sz w:val="24"/>
          <w:szCs w:val="24"/>
          <w:u w:val="none"/>
        </w:rPr>
        <w:t>Have gross household income</w:t>
      </w:r>
      <w:r w:rsidR="00054C1A" w:rsidRPr="00B34A99">
        <w:rPr>
          <w:rStyle w:val="Hyperlink"/>
          <w:rFonts w:eastAsia="Times New Roman" w:cs="Times New Roman"/>
          <w:iCs w:val="0"/>
          <w:color w:val="000000" w:themeColor="text1"/>
          <w:sz w:val="24"/>
          <w:szCs w:val="24"/>
          <w:u w:val="none"/>
        </w:rPr>
        <w:t xml:space="preserve"> that is below 30% of AMI at each periodic </w:t>
      </w:r>
      <w:r w:rsidR="003D4EBA" w:rsidRPr="00B34A99">
        <w:rPr>
          <w:rStyle w:val="Hyperlink"/>
          <w:rFonts w:eastAsia="Times New Roman" w:cs="Times New Roman"/>
          <w:iCs w:val="0"/>
          <w:color w:val="000000" w:themeColor="text1"/>
          <w:sz w:val="24"/>
          <w:szCs w:val="24"/>
          <w:u w:val="none"/>
        </w:rPr>
        <w:t>re-assessment</w:t>
      </w:r>
      <w:r w:rsidR="00054C1A" w:rsidRPr="00B34A99">
        <w:rPr>
          <w:rStyle w:val="Hyperlink"/>
          <w:rFonts w:eastAsia="Times New Roman" w:cs="Times New Roman"/>
          <w:iCs w:val="0"/>
          <w:color w:val="000000" w:themeColor="text1"/>
          <w:sz w:val="24"/>
          <w:szCs w:val="24"/>
          <w:u w:val="none"/>
        </w:rPr>
        <w:t xml:space="preserve"> for continued assistance</w:t>
      </w:r>
    </w:p>
    <w:p w14:paraId="12202AB5" w14:textId="66197A44" w:rsidR="00040B7A" w:rsidRPr="00B34A99" w:rsidRDefault="00376715" w:rsidP="00376715">
      <w:pPr>
        <w:pStyle w:val="ListParagraph"/>
        <w:numPr>
          <w:ilvl w:val="0"/>
          <w:numId w:val="4"/>
        </w:numPr>
        <w:shd w:val="clear" w:color="auto" w:fill="FFFFFF"/>
        <w:spacing w:before="100" w:beforeAutospacing="1" w:after="100" w:afterAutospacing="1" w:line="240" w:lineRule="auto"/>
        <w:ind w:left="720"/>
        <w:rPr>
          <w:rFonts w:eastAsia="Times New Roman" w:cs="Times New Roman"/>
          <w:iCs w:val="0"/>
          <w:color w:val="000000" w:themeColor="text1"/>
          <w:sz w:val="24"/>
          <w:szCs w:val="24"/>
        </w:rPr>
      </w:pPr>
      <w:r w:rsidRPr="00B34A99">
        <w:rPr>
          <w:rFonts w:eastAsia="Times New Roman" w:cs="Times New Roman"/>
          <w:iCs w:val="0"/>
          <w:color w:val="000000" w:themeColor="text1"/>
          <w:sz w:val="24"/>
          <w:szCs w:val="24"/>
        </w:rPr>
        <w:t>No member of the household can be older than 24</w:t>
      </w:r>
      <w:r w:rsidR="00F52A49">
        <w:rPr>
          <w:rFonts w:eastAsia="Times New Roman" w:cs="Times New Roman"/>
          <w:iCs w:val="0"/>
          <w:color w:val="000000" w:themeColor="text1"/>
          <w:sz w:val="24"/>
          <w:szCs w:val="24"/>
        </w:rPr>
        <w:t xml:space="preserve"> </w:t>
      </w:r>
      <w:r w:rsidR="00631914">
        <w:rPr>
          <w:rFonts w:eastAsia="Times New Roman" w:cs="Times New Roman"/>
          <w:iCs w:val="0"/>
          <w:color w:val="000000" w:themeColor="text1"/>
          <w:sz w:val="24"/>
          <w:szCs w:val="24"/>
        </w:rPr>
        <w:t>at project entry</w:t>
      </w:r>
    </w:p>
    <w:p w14:paraId="0A8092CB" w14:textId="7D7347F7" w:rsidR="00693F7E" w:rsidRPr="00B34A99" w:rsidRDefault="00693F7E" w:rsidP="00693F7E">
      <w:pPr>
        <w:spacing w:after="0" w:line="240" w:lineRule="auto"/>
        <w:rPr>
          <w:rFonts w:eastAsia="Times New Roman" w:cs="Times New Roman"/>
          <w:color w:val="000000" w:themeColor="text1"/>
          <w:sz w:val="24"/>
          <w:szCs w:val="24"/>
        </w:rPr>
      </w:pPr>
      <w:r w:rsidRPr="00B34A99">
        <w:rPr>
          <w:rFonts w:ascii="Calibri" w:eastAsia="Times New Roman" w:hAnsi="Calibri" w:cs="Times New Roman"/>
          <w:color w:val="000000"/>
          <w:sz w:val="24"/>
          <w:szCs w:val="24"/>
          <w:shd w:val="clear" w:color="auto" w:fill="FFFFFF"/>
        </w:rPr>
        <w:t xml:space="preserve">Participants bridging to PSH </w:t>
      </w:r>
      <w:r w:rsidRPr="00B34A99">
        <w:rPr>
          <w:rFonts w:eastAsia="Times New Roman" w:cs="Times New Roman"/>
          <w:color w:val="000000" w:themeColor="text1"/>
          <w:sz w:val="24"/>
          <w:szCs w:val="24"/>
        </w:rPr>
        <w:t>must also meet this criterion:</w:t>
      </w:r>
    </w:p>
    <w:p w14:paraId="5FE37194" w14:textId="79F13C80" w:rsidR="00A13189" w:rsidRDefault="00693F7E" w:rsidP="00A13189">
      <w:pPr>
        <w:pStyle w:val="ListParagraph"/>
        <w:numPr>
          <w:ilvl w:val="0"/>
          <w:numId w:val="4"/>
        </w:numPr>
        <w:shd w:val="clear" w:color="auto" w:fill="FFFFFF"/>
        <w:spacing w:before="100" w:beforeAutospacing="1" w:after="100" w:afterAutospacing="1" w:line="240" w:lineRule="auto"/>
        <w:ind w:left="720"/>
        <w:rPr>
          <w:rFonts w:ascii="Calibri" w:eastAsia="Times New Roman" w:hAnsi="Calibri" w:cs="Times New Roman"/>
          <w:color w:val="000000"/>
          <w:sz w:val="24"/>
          <w:szCs w:val="24"/>
          <w:shd w:val="clear" w:color="auto" w:fill="FFFFFF"/>
        </w:rPr>
      </w:pPr>
      <w:r w:rsidRPr="00B34A99">
        <w:rPr>
          <w:rFonts w:ascii="Calibri" w:eastAsia="Times New Roman" w:hAnsi="Calibri" w:cs="Times New Roman"/>
          <w:color w:val="000000"/>
          <w:sz w:val="24"/>
          <w:szCs w:val="24"/>
          <w:shd w:val="clear" w:color="auto" w:fill="FFFFFF"/>
        </w:rPr>
        <w:t xml:space="preserve">Full SPDAT must be completed and person must be prioritized for PSH in accordance with protocols determined by </w:t>
      </w:r>
      <w:r w:rsidR="003020F9">
        <w:rPr>
          <w:rFonts w:ascii="Calibri" w:eastAsia="Times New Roman" w:hAnsi="Calibri" w:cs="Times New Roman"/>
          <w:color w:val="000000"/>
          <w:sz w:val="24"/>
          <w:szCs w:val="24"/>
          <w:shd w:val="clear" w:color="auto" w:fill="FFFFFF"/>
        </w:rPr>
        <w:t xml:space="preserve">the </w:t>
      </w:r>
      <w:r w:rsidRPr="00B34A99">
        <w:rPr>
          <w:rFonts w:ascii="Calibri" w:eastAsia="Times New Roman" w:hAnsi="Calibri" w:cs="Times New Roman"/>
          <w:color w:val="000000"/>
          <w:sz w:val="24"/>
          <w:szCs w:val="24"/>
          <w:shd w:val="clear" w:color="auto" w:fill="FFFFFF"/>
        </w:rPr>
        <w:t>Progressive Engagement Work Group.  Participants can be moved to the bridge RRH subsidy at any time once these criteria are met</w:t>
      </w:r>
      <w:r w:rsidR="003D4EBA" w:rsidRPr="00B34A99">
        <w:rPr>
          <w:rFonts w:ascii="Calibri" w:eastAsia="Times New Roman" w:hAnsi="Calibri" w:cs="Times New Roman"/>
          <w:color w:val="000000"/>
          <w:sz w:val="24"/>
          <w:szCs w:val="24"/>
          <w:shd w:val="clear" w:color="auto" w:fill="FFFFFF"/>
        </w:rPr>
        <w:t>.</w:t>
      </w:r>
      <w:r w:rsidRPr="00B34A99">
        <w:rPr>
          <w:rFonts w:ascii="Calibri" w:eastAsia="Times New Roman" w:hAnsi="Calibri" w:cs="Times New Roman"/>
          <w:color w:val="000000"/>
          <w:sz w:val="24"/>
          <w:szCs w:val="24"/>
          <w:shd w:val="clear" w:color="auto" w:fill="FFFFFF"/>
        </w:rPr>
        <w:t xml:space="preserve"> </w:t>
      </w:r>
      <w:r w:rsidR="00A453BC">
        <w:rPr>
          <w:rFonts w:ascii="Calibri" w:eastAsia="Times New Roman" w:hAnsi="Calibri" w:cs="Times New Roman"/>
          <w:color w:val="000000"/>
          <w:sz w:val="24"/>
          <w:szCs w:val="24"/>
          <w:shd w:val="clear" w:color="auto" w:fill="FFFFFF"/>
        </w:rPr>
        <w:t xml:space="preserve"> </w:t>
      </w:r>
    </w:p>
    <w:p w14:paraId="5E6F9698" w14:textId="394DD221" w:rsidR="00631914" w:rsidRPr="00A13189" w:rsidRDefault="00A13189" w:rsidP="00A13189">
      <w:pPr>
        <w:rPr>
          <w:rFonts w:ascii="Calibri" w:eastAsia="Times New Roman" w:hAnsi="Calibri" w:cs="Times New Roman"/>
          <w:iCs/>
          <w:color w:val="000000"/>
          <w:sz w:val="24"/>
          <w:szCs w:val="24"/>
          <w:shd w:val="clear" w:color="auto" w:fill="FFFFFF"/>
        </w:rPr>
      </w:pPr>
      <w:r>
        <w:rPr>
          <w:rFonts w:ascii="Calibri" w:eastAsia="Times New Roman" w:hAnsi="Calibri" w:cs="Times New Roman"/>
          <w:color w:val="000000"/>
          <w:sz w:val="24"/>
          <w:szCs w:val="24"/>
          <w:shd w:val="clear" w:color="auto" w:fill="FFFFFF"/>
        </w:rPr>
        <w:br w:type="page"/>
      </w:r>
    </w:p>
    <w:tbl>
      <w:tblPr>
        <w:tblStyle w:val="ListTable4-Accent5"/>
        <w:tblW w:w="0" w:type="auto"/>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95"/>
        <w:gridCol w:w="3150"/>
        <w:gridCol w:w="3675"/>
      </w:tblGrid>
      <w:tr w:rsidR="00B34A99" w:rsidRPr="00B34A99" w14:paraId="4EA35EF3" w14:textId="05F59775" w:rsidTr="003050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5" w:type="dxa"/>
            <w:tcBorders>
              <w:top w:val="double" w:sz="4" w:space="0" w:color="auto"/>
              <w:left w:val="double" w:sz="4" w:space="0" w:color="auto"/>
              <w:bottom w:val="double" w:sz="4" w:space="0" w:color="auto"/>
            </w:tcBorders>
            <w:vAlign w:val="center"/>
          </w:tcPr>
          <w:p w14:paraId="3BD80887" w14:textId="3DC133F9" w:rsidR="008C2B86" w:rsidRPr="00B34A99" w:rsidRDefault="008C2B86" w:rsidP="008C2B86">
            <w:pPr>
              <w:jc w:val="center"/>
              <w:rPr>
                <w:rFonts w:ascii="Calibri" w:hAnsi="Calibri"/>
              </w:rPr>
            </w:pPr>
            <w:r w:rsidRPr="00B34A99">
              <w:rPr>
                <w:rFonts w:ascii="Calibri" w:hAnsi="Calibri"/>
              </w:rPr>
              <w:lastRenderedPageBreak/>
              <w:t>TARGET POPULATION</w:t>
            </w:r>
            <w:r w:rsidR="00961CE5">
              <w:rPr>
                <w:rStyle w:val="FootnoteReference"/>
                <w:rFonts w:ascii="Calibri" w:hAnsi="Calibri"/>
              </w:rPr>
              <w:footnoteReference w:id="1"/>
            </w:r>
          </w:p>
        </w:tc>
        <w:tc>
          <w:tcPr>
            <w:tcW w:w="3150" w:type="dxa"/>
            <w:tcBorders>
              <w:top w:val="double" w:sz="4" w:space="0" w:color="auto"/>
              <w:bottom w:val="double" w:sz="4" w:space="0" w:color="auto"/>
            </w:tcBorders>
            <w:vAlign w:val="center"/>
          </w:tcPr>
          <w:p w14:paraId="69CBE880" w14:textId="3BE5EABC" w:rsidR="008C2B86" w:rsidRPr="00B34A99" w:rsidRDefault="008C2B86" w:rsidP="008C2B8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B34A99">
              <w:rPr>
                <w:rFonts w:ascii="Calibri" w:hAnsi="Calibri"/>
              </w:rPr>
              <w:t>RENTAL ASSISTANCE SCHEDULE</w:t>
            </w:r>
          </w:p>
        </w:tc>
        <w:tc>
          <w:tcPr>
            <w:tcW w:w="3675" w:type="dxa"/>
            <w:tcBorders>
              <w:top w:val="double" w:sz="4" w:space="0" w:color="auto"/>
              <w:bottom w:val="double" w:sz="4" w:space="0" w:color="auto"/>
              <w:right w:val="double" w:sz="4" w:space="0" w:color="auto"/>
            </w:tcBorders>
            <w:vAlign w:val="center"/>
          </w:tcPr>
          <w:p w14:paraId="39C004FF" w14:textId="1F00DF65" w:rsidR="008C2B86" w:rsidRPr="00B34A99" w:rsidRDefault="008C2B86" w:rsidP="008C2B86">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B34A99">
              <w:rPr>
                <w:rFonts w:ascii="Calibri" w:hAnsi="Calibri"/>
              </w:rPr>
              <w:t>RE-ASSESSMENT SCHEDULE</w:t>
            </w:r>
          </w:p>
        </w:tc>
      </w:tr>
      <w:tr w:rsidR="00B34A99" w:rsidRPr="00B34A99" w14:paraId="0404A13F" w14:textId="77777777" w:rsidTr="00B34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vAlign w:val="center"/>
          </w:tcPr>
          <w:p w14:paraId="2008E438" w14:textId="04A36415" w:rsidR="00B34A99" w:rsidRPr="00B34A99" w:rsidRDefault="00B34A99" w:rsidP="00B34A99">
            <w:pPr>
              <w:rPr>
                <w:rFonts w:ascii="Calibri" w:hAnsi="Calibri"/>
                <w:b w:val="0"/>
              </w:rPr>
            </w:pPr>
            <w:r w:rsidRPr="00B34A99">
              <w:rPr>
                <w:rFonts w:ascii="Calibri" w:hAnsi="Calibri"/>
              </w:rPr>
              <w:t>High Need</w:t>
            </w:r>
            <w:r w:rsidRPr="00B34A99">
              <w:rPr>
                <w:rFonts w:ascii="Calibri" w:hAnsi="Calibri"/>
                <w:b w:val="0"/>
              </w:rPr>
              <w:t xml:space="preserve"> Chronically Homeless People and Young People Under Age 25 Who Are </w:t>
            </w:r>
            <w:r w:rsidRPr="00B34A99">
              <w:rPr>
                <w:rFonts w:ascii="Calibri" w:hAnsi="Calibri"/>
                <w:u w:val="double"/>
              </w:rPr>
              <w:t xml:space="preserve">NOT </w:t>
            </w:r>
            <w:r w:rsidRPr="00B34A99">
              <w:rPr>
                <w:rFonts w:ascii="Calibri" w:hAnsi="Calibri"/>
              </w:rPr>
              <w:t>Prioritized for Bridge to PSH</w:t>
            </w:r>
          </w:p>
        </w:tc>
        <w:tc>
          <w:tcPr>
            <w:tcW w:w="3150" w:type="dxa"/>
            <w:vAlign w:val="center"/>
          </w:tcPr>
          <w:p w14:paraId="116C1B61" w14:textId="77777777" w:rsidR="00B34A99" w:rsidRPr="00B34A99" w:rsidRDefault="00B34A99" w:rsidP="00B34A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iCs/>
              </w:rPr>
            </w:pPr>
            <w:r w:rsidRPr="00B34A99">
              <w:rPr>
                <w:rFonts w:cs="Times New Roman"/>
              </w:rPr>
              <w:t xml:space="preserve">Rental assistance is provided for the </w:t>
            </w:r>
            <w:r w:rsidRPr="00E7796A">
              <w:rPr>
                <w:rFonts w:cs="Times New Roman"/>
                <w:u w:val="single"/>
              </w:rPr>
              <w:t>shortest amount of time necessary</w:t>
            </w:r>
            <w:r w:rsidRPr="00B34A99">
              <w:rPr>
                <w:rFonts w:cs="Times New Roman"/>
              </w:rPr>
              <w:t xml:space="preserve"> to prevent a return to homelessness and as a decreasing % of rent as follows:</w:t>
            </w:r>
          </w:p>
          <w:p w14:paraId="7B630E68" w14:textId="694A8E6D" w:rsidR="00B34A99" w:rsidRPr="008E7B42" w:rsidRDefault="00B34A99" w:rsidP="00B34A99">
            <w:pPr>
              <w:pStyle w:val="ListParagraph"/>
              <w:numPr>
                <w:ilvl w:val="0"/>
                <w:numId w:val="7"/>
              </w:numPr>
              <w:tabs>
                <w:tab w:val="left" w:pos="618"/>
              </w:tabs>
              <w:autoSpaceDE w:val="0"/>
              <w:autoSpaceDN w:val="0"/>
              <w:adjustRightInd w:val="0"/>
              <w:spacing w:after="0" w:line="240" w:lineRule="auto"/>
              <w:ind w:left="438"/>
              <w:cnfStyle w:val="000000100000" w:firstRow="0" w:lastRow="0" w:firstColumn="0" w:lastColumn="0" w:oddVBand="0" w:evenVBand="0" w:oddHBand="1" w:evenHBand="0" w:firstRowFirstColumn="0" w:firstRowLastColumn="0" w:lastRowFirstColumn="0" w:lastRowLastColumn="0"/>
              <w:rPr>
                <w:rFonts w:cs="Times New Roman"/>
                <w:iCs w:val="0"/>
                <w:color w:val="000000" w:themeColor="text1"/>
                <w:szCs w:val="22"/>
              </w:rPr>
            </w:pPr>
            <w:r w:rsidRPr="008E7B42">
              <w:rPr>
                <w:rFonts w:cs="Times New Roman"/>
                <w:iCs w:val="0"/>
                <w:color w:val="000000" w:themeColor="text1"/>
                <w:szCs w:val="22"/>
              </w:rPr>
              <w:t>Months 1-3 80% of rent</w:t>
            </w:r>
          </w:p>
          <w:p w14:paraId="222CB880" w14:textId="77777777" w:rsidR="00B34A99" w:rsidRPr="008E7B42" w:rsidRDefault="00B34A99" w:rsidP="00B34A99">
            <w:pPr>
              <w:pStyle w:val="ListParagraph"/>
              <w:numPr>
                <w:ilvl w:val="0"/>
                <w:numId w:val="7"/>
              </w:numPr>
              <w:tabs>
                <w:tab w:val="left" w:pos="618"/>
              </w:tabs>
              <w:autoSpaceDE w:val="0"/>
              <w:autoSpaceDN w:val="0"/>
              <w:adjustRightInd w:val="0"/>
              <w:spacing w:after="0" w:line="240" w:lineRule="auto"/>
              <w:ind w:left="438"/>
              <w:cnfStyle w:val="000000100000" w:firstRow="0" w:lastRow="0" w:firstColumn="0" w:lastColumn="0" w:oddVBand="0" w:evenVBand="0" w:oddHBand="1" w:evenHBand="0" w:firstRowFirstColumn="0" w:firstRowLastColumn="0" w:lastRowFirstColumn="0" w:lastRowLastColumn="0"/>
              <w:rPr>
                <w:rFonts w:cs="Times New Roman"/>
                <w:iCs w:val="0"/>
                <w:color w:val="000000" w:themeColor="text1"/>
                <w:szCs w:val="22"/>
              </w:rPr>
            </w:pPr>
            <w:r w:rsidRPr="008E7B42">
              <w:rPr>
                <w:rFonts w:cs="Times New Roman"/>
                <w:iCs w:val="0"/>
                <w:color w:val="000000" w:themeColor="text1"/>
                <w:szCs w:val="22"/>
              </w:rPr>
              <w:t>Months 4-6 60% of rent</w:t>
            </w:r>
          </w:p>
          <w:p w14:paraId="28AEBEC6" w14:textId="77777777" w:rsidR="00B34A99" w:rsidRPr="008E7B42" w:rsidRDefault="00B34A99" w:rsidP="00B34A99">
            <w:pPr>
              <w:pStyle w:val="ListParagraph"/>
              <w:numPr>
                <w:ilvl w:val="0"/>
                <w:numId w:val="7"/>
              </w:numPr>
              <w:tabs>
                <w:tab w:val="left" w:pos="618"/>
              </w:tabs>
              <w:autoSpaceDE w:val="0"/>
              <w:autoSpaceDN w:val="0"/>
              <w:adjustRightInd w:val="0"/>
              <w:spacing w:after="0" w:line="240" w:lineRule="auto"/>
              <w:ind w:left="438"/>
              <w:cnfStyle w:val="000000100000" w:firstRow="0" w:lastRow="0" w:firstColumn="0" w:lastColumn="0" w:oddVBand="0" w:evenVBand="0" w:oddHBand="1" w:evenHBand="0" w:firstRowFirstColumn="0" w:firstRowLastColumn="0" w:lastRowFirstColumn="0" w:lastRowLastColumn="0"/>
              <w:rPr>
                <w:rFonts w:cs="Times New Roman"/>
                <w:iCs w:val="0"/>
                <w:color w:val="000000" w:themeColor="text1"/>
                <w:szCs w:val="22"/>
              </w:rPr>
            </w:pPr>
            <w:r w:rsidRPr="008E7B42">
              <w:rPr>
                <w:rFonts w:cs="Times New Roman"/>
                <w:iCs w:val="0"/>
                <w:color w:val="000000" w:themeColor="text1"/>
                <w:szCs w:val="22"/>
              </w:rPr>
              <w:t>Months 7-9 40% of rent</w:t>
            </w:r>
          </w:p>
          <w:p w14:paraId="49706F27" w14:textId="5368D500" w:rsidR="003C2157" w:rsidRPr="008E7B42" w:rsidRDefault="00B34A99" w:rsidP="00B34A99">
            <w:pPr>
              <w:pStyle w:val="ListParagraph"/>
              <w:numPr>
                <w:ilvl w:val="0"/>
                <w:numId w:val="7"/>
              </w:numPr>
              <w:tabs>
                <w:tab w:val="left" w:pos="618"/>
              </w:tabs>
              <w:autoSpaceDE w:val="0"/>
              <w:autoSpaceDN w:val="0"/>
              <w:adjustRightInd w:val="0"/>
              <w:spacing w:after="0" w:line="240" w:lineRule="auto"/>
              <w:ind w:left="438"/>
              <w:cnfStyle w:val="000000100000" w:firstRow="0" w:lastRow="0" w:firstColumn="0" w:lastColumn="0" w:oddVBand="0" w:evenVBand="0" w:oddHBand="1" w:evenHBand="0" w:firstRowFirstColumn="0" w:firstRowLastColumn="0" w:lastRowFirstColumn="0" w:lastRowLastColumn="0"/>
              <w:rPr>
                <w:rFonts w:cs="Times New Roman"/>
                <w:iCs w:val="0"/>
                <w:color w:val="000000" w:themeColor="text1"/>
                <w:szCs w:val="22"/>
              </w:rPr>
            </w:pPr>
            <w:r w:rsidRPr="008E7B42">
              <w:rPr>
                <w:rFonts w:cs="Times New Roman"/>
                <w:iCs w:val="0"/>
                <w:color w:val="000000" w:themeColor="text1"/>
                <w:szCs w:val="22"/>
              </w:rPr>
              <w:t xml:space="preserve">Months 10-12 20% of rent </w:t>
            </w:r>
          </w:p>
          <w:p w14:paraId="1027F484" w14:textId="369D3E6B" w:rsidR="00B34A99" w:rsidRPr="00B34A99" w:rsidRDefault="00B34A99" w:rsidP="00B34A99">
            <w:pP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B34A99">
              <w:rPr>
                <w:rFonts w:cs="Times New Roman"/>
              </w:rPr>
              <w:t xml:space="preserve">Subsidy amount is adjusted as necessary to cap </w:t>
            </w:r>
            <w:r w:rsidRPr="00B34A99">
              <w:rPr>
                <w:rFonts w:cstheme="minorHAnsi"/>
              </w:rPr>
              <w:t>combined tenant rent and utility allowance</w:t>
            </w:r>
            <w:r w:rsidRPr="00B34A99">
              <w:t xml:space="preserve"> </w:t>
            </w:r>
            <w:r w:rsidRPr="00B34A99">
              <w:rPr>
                <w:rFonts w:cstheme="minorHAnsi"/>
              </w:rPr>
              <w:t>contribution at 65% of gross household income.</w:t>
            </w:r>
          </w:p>
        </w:tc>
        <w:tc>
          <w:tcPr>
            <w:tcW w:w="3675" w:type="dxa"/>
            <w:vAlign w:val="center"/>
          </w:tcPr>
          <w:p w14:paraId="78439169" w14:textId="52A8B692" w:rsidR="00B34A99" w:rsidRPr="008E7B42" w:rsidRDefault="00B34A99" w:rsidP="00B34A99">
            <w:pPr>
              <w:pStyle w:val="ListParagraph"/>
              <w:numPr>
                <w:ilvl w:val="0"/>
                <w:numId w:val="7"/>
              </w:numPr>
              <w:autoSpaceDE w:val="0"/>
              <w:autoSpaceDN w:val="0"/>
              <w:adjustRightInd w:val="0"/>
              <w:spacing w:after="0" w:line="240" w:lineRule="auto"/>
              <w:ind w:left="348" w:hanging="258"/>
              <w:cnfStyle w:val="000000100000" w:firstRow="0" w:lastRow="0" w:firstColumn="0" w:lastColumn="0" w:oddVBand="0" w:evenVBand="0" w:oddHBand="1" w:evenHBand="0" w:firstRowFirstColumn="0" w:firstRowLastColumn="0" w:lastRowFirstColumn="0" w:lastRowLastColumn="0"/>
              <w:rPr>
                <w:rFonts w:cs="Times New Roman"/>
                <w:iCs w:val="0"/>
                <w:color w:val="000000" w:themeColor="text1"/>
                <w:szCs w:val="22"/>
                <w:u w:val="single"/>
              </w:rPr>
            </w:pPr>
            <w:r w:rsidRPr="008E7B42">
              <w:rPr>
                <w:rFonts w:cs="Times New Roman"/>
                <w:iCs w:val="0"/>
                <w:color w:val="000000" w:themeColor="text1"/>
                <w:szCs w:val="22"/>
              </w:rPr>
              <w:t>When a participant has reported an income decrease</w:t>
            </w:r>
            <w:r w:rsidR="003C2157" w:rsidRPr="008E7B42">
              <w:rPr>
                <w:rFonts w:cs="Times New Roman"/>
                <w:iCs w:val="0"/>
                <w:color w:val="000000" w:themeColor="text1"/>
                <w:szCs w:val="22"/>
              </w:rPr>
              <w:t>,</w:t>
            </w:r>
            <w:r w:rsidRPr="008E7B42">
              <w:rPr>
                <w:rFonts w:cs="Times New Roman"/>
                <w:iCs w:val="0"/>
                <w:color w:val="000000" w:themeColor="text1"/>
                <w:szCs w:val="22"/>
              </w:rPr>
              <w:t xml:space="preserve"> projects must </w:t>
            </w:r>
            <w:r w:rsidRPr="008E7B42">
              <w:rPr>
                <w:rFonts w:cs="Times New Roman"/>
                <w:color w:val="000000" w:themeColor="text1"/>
                <w:szCs w:val="22"/>
              </w:rPr>
              <w:t>document income and re-calculate rent.</w:t>
            </w:r>
          </w:p>
          <w:p w14:paraId="53E1328A" w14:textId="77777777" w:rsidR="002F7743" w:rsidRPr="002F7743" w:rsidRDefault="00B34A99" w:rsidP="002F7743">
            <w:pPr>
              <w:pStyle w:val="ListParagraph"/>
              <w:numPr>
                <w:ilvl w:val="0"/>
                <w:numId w:val="7"/>
              </w:numPr>
              <w:autoSpaceDE w:val="0"/>
              <w:autoSpaceDN w:val="0"/>
              <w:adjustRightInd w:val="0"/>
              <w:spacing w:after="0" w:line="240" w:lineRule="auto"/>
              <w:ind w:left="348" w:hanging="258"/>
              <w:cnfStyle w:val="000000100000" w:firstRow="0" w:lastRow="0" w:firstColumn="0" w:lastColumn="0" w:oddVBand="0" w:evenVBand="0" w:oddHBand="1" w:evenHBand="0" w:firstRowFirstColumn="0" w:firstRowLastColumn="0" w:lastRowFirstColumn="0" w:lastRowLastColumn="0"/>
              <w:rPr>
                <w:rFonts w:cs="Times New Roman"/>
                <w:iCs w:val="0"/>
                <w:color w:val="000000" w:themeColor="text1"/>
                <w:szCs w:val="22"/>
                <w:u w:val="single"/>
              </w:rPr>
            </w:pPr>
            <w:r w:rsidRPr="008E7B42">
              <w:rPr>
                <w:rFonts w:cs="Times New Roman"/>
                <w:iCs w:val="0"/>
                <w:color w:val="000000" w:themeColor="text1"/>
                <w:szCs w:val="22"/>
              </w:rPr>
              <w:t xml:space="preserve">Projects must also </w:t>
            </w:r>
            <w:r w:rsidRPr="008E7B42">
              <w:rPr>
                <w:rFonts w:cs="Times New Roman"/>
                <w:color w:val="000000" w:themeColor="text1"/>
                <w:szCs w:val="22"/>
              </w:rPr>
              <w:t>document income and re-calculate rent monthly for all participants using the 65% cap.</w:t>
            </w:r>
          </w:p>
          <w:p w14:paraId="67DC2858" w14:textId="0FEB876F" w:rsidR="00B34A99" w:rsidRPr="002F7743" w:rsidRDefault="00B34A99" w:rsidP="002F7743">
            <w:pPr>
              <w:pStyle w:val="ListParagraph"/>
              <w:numPr>
                <w:ilvl w:val="0"/>
                <w:numId w:val="7"/>
              </w:numPr>
              <w:autoSpaceDE w:val="0"/>
              <w:autoSpaceDN w:val="0"/>
              <w:adjustRightInd w:val="0"/>
              <w:spacing w:after="0" w:line="240" w:lineRule="auto"/>
              <w:ind w:left="348" w:hanging="258"/>
              <w:cnfStyle w:val="000000100000" w:firstRow="0" w:lastRow="0" w:firstColumn="0" w:lastColumn="0" w:oddVBand="0" w:evenVBand="0" w:oddHBand="1" w:evenHBand="0" w:firstRowFirstColumn="0" w:firstRowLastColumn="0" w:lastRowFirstColumn="0" w:lastRowLastColumn="0"/>
              <w:rPr>
                <w:rFonts w:cs="Times New Roman"/>
                <w:iCs w:val="0"/>
                <w:color w:val="000000" w:themeColor="text1"/>
                <w:szCs w:val="22"/>
                <w:u w:val="single"/>
              </w:rPr>
            </w:pPr>
            <w:r w:rsidRPr="002F7743">
              <w:rPr>
                <w:rFonts w:cs="Times New Roman"/>
                <w:color w:val="000000" w:themeColor="text1"/>
              </w:rPr>
              <w:t xml:space="preserve">Projects must reassess for continued eligibility for assistance every 3 months. If gross household income is sufficient to pay full rent or exceeds 30% of AMI, discontinue rental assistance.  </w:t>
            </w:r>
            <w:r w:rsidR="002F7743" w:rsidRPr="002F7743">
              <w:rPr>
                <w:rFonts w:cs="Times New Roman"/>
                <w:sz w:val="24"/>
                <w:szCs w:val="24"/>
              </w:rPr>
              <w:t>Until such time as further guidance becomes available, determinations regarding whether income is sufficient to pay full rent can be made by a project supervisor.</w:t>
            </w:r>
          </w:p>
        </w:tc>
      </w:tr>
      <w:tr w:rsidR="00E97D47" w:rsidRPr="00B34A99" w14:paraId="24A75DCE" w14:textId="77777777" w:rsidTr="00B34A99">
        <w:tc>
          <w:tcPr>
            <w:cnfStyle w:val="001000000000" w:firstRow="0" w:lastRow="0" w:firstColumn="1" w:lastColumn="0" w:oddVBand="0" w:evenVBand="0" w:oddHBand="0" w:evenHBand="0" w:firstRowFirstColumn="0" w:firstRowLastColumn="0" w:lastRowFirstColumn="0" w:lastRowLastColumn="0"/>
            <w:tcW w:w="2495" w:type="dxa"/>
            <w:vAlign w:val="center"/>
          </w:tcPr>
          <w:p w14:paraId="02F16DDC" w14:textId="7CDFF67C" w:rsidR="00E97D47" w:rsidRPr="00B34A99" w:rsidRDefault="00E97D47" w:rsidP="00E97D47">
            <w:pPr>
              <w:rPr>
                <w:rFonts w:ascii="Calibri" w:hAnsi="Calibri"/>
              </w:rPr>
            </w:pPr>
            <w:r w:rsidRPr="00B34A99">
              <w:rPr>
                <w:rFonts w:ascii="Calibri" w:hAnsi="Calibri"/>
                <w:b w:val="0"/>
              </w:rPr>
              <w:t xml:space="preserve">High Need Homeless People Who Are </w:t>
            </w:r>
            <w:r w:rsidRPr="00B34A99">
              <w:rPr>
                <w:rFonts w:ascii="Calibri" w:hAnsi="Calibri"/>
              </w:rPr>
              <w:t>Prioritized for</w:t>
            </w:r>
            <w:r w:rsidRPr="00B34A99">
              <w:rPr>
                <w:rFonts w:ascii="Calibri" w:hAnsi="Calibri"/>
                <w:b w:val="0"/>
              </w:rPr>
              <w:t xml:space="preserve"> </w:t>
            </w:r>
            <w:r w:rsidRPr="00B34A99">
              <w:rPr>
                <w:rFonts w:ascii="Calibri" w:hAnsi="Calibri"/>
              </w:rPr>
              <w:t>Bridge to PSH</w:t>
            </w:r>
          </w:p>
        </w:tc>
        <w:tc>
          <w:tcPr>
            <w:tcW w:w="3150" w:type="dxa"/>
            <w:vAlign w:val="center"/>
          </w:tcPr>
          <w:p w14:paraId="215F8B2C" w14:textId="14ACB7AA" w:rsidR="00E97D47" w:rsidRPr="00B34A99" w:rsidRDefault="00E97D47" w:rsidP="00E97D47">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B34A99">
              <w:rPr>
                <w:rFonts w:cs="Times New Roman"/>
                <w:color w:val="000000" w:themeColor="text1"/>
              </w:rPr>
              <w:t xml:space="preserve">Rental assistance is provided for up to 24 months while the participant awaits an available PSH vacancy.  </w:t>
            </w:r>
            <w:r w:rsidRPr="008E7B42">
              <w:rPr>
                <w:rFonts w:ascii="Calibri" w:hAnsi="Calibri" w:cs="Times New Roman"/>
                <w:color w:val="000000" w:themeColor="text1"/>
              </w:rPr>
              <w:t>Participants are required to pay a combined total of 40% of their adjusted monthly income towards rent and the utility allowance.</w:t>
            </w:r>
            <w:r w:rsidRPr="008E7B42">
              <w:rPr>
                <w:rFonts w:cs="Times New Roman"/>
                <w:color w:val="000000" w:themeColor="text1"/>
              </w:rPr>
              <w:t xml:space="preserve"> </w:t>
            </w:r>
          </w:p>
          <w:p w14:paraId="03104740" w14:textId="6032E812" w:rsidR="00E97D47" w:rsidRPr="00305079" w:rsidRDefault="00E97D47" w:rsidP="00305079">
            <w:pPr>
              <w:pStyle w:val="ListParagraph"/>
              <w:numPr>
                <w:ilvl w:val="0"/>
                <w:numId w:val="4"/>
              </w:numPr>
              <w:spacing w:after="0" w:line="240" w:lineRule="auto"/>
              <w:ind w:left="348"/>
              <w:cnfStyle w:val="000000000000" w:firstRow="0" w:lastRow="0" w:firstColumn="0" w:lastColumn="0" w:oddVBand="0" w:evenVBand="0" w:oddHBand="0" w:evenHBand="0" w:firstRowFirstColumn="0" w:firstRowLastColumn="0" w:lastRowFirstColumn="0" w:lastRowLastColumn="0"/>
              <w:rPr>
                <w:rFonts w:ascii="Calibri" w:hAnsi="Calibri"/>
                <w:i/>
                <w:szCs w:val="22"/>
              </w:rPr>
            </w:pPr>
            <w:r w:rsidRPr="00B34A99">
              <w:rPr>
                <w:rFonts w:ascii="Calibri" w:hAnsi="Calibri"/>
                <w:szCs w:val="22"/>
              </w:rPr>
              <w:t xml:space="preserve">Follows </w:t>
            </w:r>
            <w:proofErr w:type="spellStart"/>
            <w:r w:rsidRPr="00B34A99">
              <w:rPr>
                <w:rFonts w:ascii="Calibri" w:hAnsi="Calibri"/>
                <w:szCs w:val="22"/>
              </w:rPr>
              <w:t>CoC</w:t>
            </w:r>
            <w:proofErr w:type="spellEnd"/>
            <w:r w:rsidRPr="00B34A99">
              <w:rPr>
                <w:rFonts w:ascii="Calibri" w:hAnsi="Calibri"/>
                <w:szCs w:val="22"/>
              </w:rPr>
              <w:t xml:space="preserve"> rules for calculating adjusted income</w:t>
            </w:r>
          </w:p>
        </w:tc>
        <w:tc>
          <w:tcPr>
            <w:tcW w:w="3675" w:type="dxa"/>
            <w:vAlign w:val="center"/>
          </w:tcPr>
          <w:p w14:paraId="4D950FFD" w14:textId="77777777" w:rsidR="00E97D47" w:rsidRPr="00E97D47" w:rsidRDefault="00E97D47" w:rsidP="00E97D47">
            <w:pPr>
              <w:pStyle w:val="ListParagraph"/>
              <w:numPr>
                <w:ilvl w:val="0"/>
                <w:numId w:val="4"/>
              </w:numPr>
              <w:autoSpaceDE w:val="0"/>
              <w:autoSpaceDN w:val="0"/>
              <w:adjustRightInd w:val="0"/>
              <w:spacing w:after="0" w:line="240" w:lineRule="auto"/>
              <w:ind w:left="348"/>
              <w:cnfStyle w:val="000000000000" w:firstRow="0" w:lastRow="0" w:firstColumn="0" w:lastColumn="0" w:oddVBand="0" w:evenVBand="0" w:oddHBand="0" w:evenHBand="0" w:firstRowFirstColumn="0" w:firstRowLastColumn="0" w:lastRowFirstColumn="0" w:lastRowLastColumn="0"/>
              <w:rPr>
                <w:rFonts w:ascii="Calibri" w:hAnsi="Calibri" w:cs="Times New Roman"/>
                <w:iCs w:val="0"/>
                <w:color w:val="000000" w:themeColor="text1"/>
                <w:szCs w:val="22"/>
              </w:rPr>
            </w:pPr>
            <w:r w:rsidRPr="00E97D47">
              <w:rPr>
                <w:rFonts w:ascii="Calibri" w:hAnsi="Calibri" w:cs="Times New Roman"/>
                <w:iCs w:val="0"/>
                <w:color w:val="000000" w:themeColor="text1"/>
                <w:szCs w:val="22"/>
              </w:rPr>
              <w:t>Projects must assess participant income and calculate participant rent at least annually.</w:t>
            </w:r>
          </w:p>
          <w:p w14:paraId="6A9331CD" w14:textId="77777777" w:rsidR="00E97D47" w:rsidRPr="00E97D47" w:rsidRDefault="00E97D47" w:rsidP="00E97D47">
            <w:pPr>
              <w:pStyle w:val="ListParagraph"/>
              <w:numPr>
                <w:ilvl w:val="0"/>
                <w:numId w:val="4"/>
              </w:numPr>
              <w:autoSpaceDE w:val="0"/>
              <w:autoSpaceDN w:val="0"/>
              <w:adjustRightInd w:val="0"/>
              <w:spacing w:after="0" w:line="240" w:lineRule="auto"/>
              <w:ind w:left="348"/>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2"/>
                <w:u w:val="single"/>
              </w:rPr>
            </w:pPr>
            <w:r w:rsidRPr="00E97D47">
              <w:rPr>
                <w:rFonts w:cs="Times New Roman"/>
                <w:color w:val="000000" w:themeColor="text1"/>
                <w:szCs w:val="22"/>
              </w:rPr>
              <w:t>When a participant has reported an income change, projects must document income and re-calculate rent.</w:t>
            </w:r>
          </w:p>
          <w:p w14:paraId="228A09D1" w14:textId="637BF7A8" w:rsidR="00E97D47" w:rsidRPr="00E97D47" w:rsidRDefault="00E97D47" w:rsidP="00E97D47">
            <w:pPr>
              <w:pStyle w:val="ListParagraph"/>
              <w:numPr>
                <w:ilvl w:val="0"/>
                <w:numId w:val="4"/>
              </w:numPr>
              <w:autoSpaceDE w:val="0"/>
              <w:autoSpaceDN w:val="0"/>
              <w:adjustRightInd w:val="0"/>
              <w:spacing w:after="0" w:line="240" w:lineRule="auto"/>
              <w:ind w:left="348"/>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2"/>
              </w:rPr>
            </w:pPr>
            <w:r w:rsidRPr="00E97D47">
              <w:rPr>
                <w:rFonts w:cs="Times New Roman"/>
                <w:color w:val="000000" w:themeColor="text1"/>
                <w:szCs w:val="22"/>
              </w:rPr>
              <w:t>Participants remain eligible for RRH for up to 24 months pending PSH availability &amp; must be moved promptly to an available PSH unit.</w:t>
            </w:r>
          </w:p>
        </w:tc>
      </w:tr>
    </w:tbl>
    <w:p w14:paraId="21708BBE" w14:textId="77777777" w:rsidR="00040B7A" w:rsidRPr="00B34A99" w:rsidRDefault="00040B7A" w:rsidP="00A13189">
      <w:pPr>
        <w:rPr>
          <w:rFonts w:ascii="Calibri" w:hAnsi="Calibri"/>
          <w:i/>
        </w:rPr>
      </w:pPr>
    </w:p>
    <w:p w14:paraId="00A00D4A" w14:textId="6D9A1F13" w:rsidR="00006A3A" w:rsidRPr="00B34A99" w:rsidRDefault="00006A3A" w:rsidP="00693F7E">
      <w:pPr>
        <w:pStyle w:val="Heading1"/>
        <w:pBdr>
          <w:top w:val="double" w:sz="4" w:space="1" w:color="000000" w:themeColor="text1"/>
          <w:left w:val="double" w:sz="4" w:space="4" w:color="000000" w:themeColor="text1"/>
          <w:bottom w:val="double" w:sz="4" w:space="1" w:color="000000" w:themeColor="text1"/>
          <w:right w:val="double" w:sz="4" w:space="4" w:color="000000" w:themeColor="text1"/>
        </w:pBdr>
        <w:shd w:val="clear" w:color="auto" w:fill="4EB3CF" w:themeFill="accent5"/>
        <w:jc w:val="center"/>
        <w:rPr>
          <w:rFonts w:asciiTheme="minorHAnsi" w:hAnsiTheme="minorHAnsi"/>
          <w:b/>
          <w:szCs w:val="28"/>
        </w:rPr>
      </w:pPr>
      <w:r w:rsidRPr="00B34A99">
        <w:rPr>
          <w:rFonts w:asciiTheme="minorHAnsi" w:hAnsiTheme="minorHAnsi"/>
          <w:b/>
          <w:szCs w:val="28"/>
        </w:rPr>
        <w:t>Other Requirements</w:t>
      </w:r>
      <w:r w:rsidRPr="00B34A99">
        <w:rPr>
          <w:rStyle w:val="FootnoteReference"/>
          <w:rFonts w:asciiTheme="minorHAnsi" w:hAnsiTheme="minorHAnsi"/>
          <w:b/>
          <w:szCs w:val="28"/>
        </w:rPr>
        <w:footnoteReference w:id="2"/>
      </w:r>
    </w:p>
    <w:p w14:paraId="06374D5A" w14:textId="4D6B31A4" w:rsidR="00722824" w:rsidRPr="00F51EF8" w:rsidRDefault="00722824" w:rsidP="000238F4">
      <w:pPr>
        <w:pStyle w:val="ListParagraph"/>
        <w:numPr>
          <w:ilvl w:val="0"/>
          <w:numId w:val="10"/>
        </w:numPr>
        <w:autoSpaceDE w:val="0"/>
        <w:autoSpaceDN w:val="0"/>
        <w:adjustRightInd w:val="0"/>
        <w:spacing w:after="0" w:line="240" w:lineRule="auto"/>
        <w:ind w:left="360"/>
        <w:rPr>
          <w:rFonts w:cs="Times New Roman"/>
          <w:color w:val="000000" w:themeColor="text1"/>
          <w:sz w:val="24"/>
          <w:szCs w:val="24"/>
          <w:u w:val="single"/>
        </w:rPr>
      </w:pPr>
      <w:r w:rsidRPr="00F51EF8">
        <w:rPr>
          <w:rFonts w:cs="Times New Roman"/>
          <w:color w:val="000000" w:themeColor="text1"/>
          <w:sz w:val="24"/>
          <w:szCs w:val="24"/>
        </w:rPr>
        <w:t>Rent</w:t>
      </w:r>
      <w:r w:rsidR="00305079" w:rsidRPr="00F51EF8">
        <w:rPr>
          <w:rFonts w:cs="Times New Roman"/>
          <w:color w:val="000000" w:themeColor="text1"/>
          <w:sz w:val="24"/>
          <w:szCs w:val="24"/>
        </w:rPr>
        <w:t>s</w:t>
      </w:r>
      <w:r w:rsidRPr="00F51EF8">
        <w:rPr>
          <w:rFonts w:cs="Times New Roman"/>
          <w:color w:val="000000" w:themeColor="text1"/>
          <w:sz w:val="24"/>
          <w:szCs w:val="24"/>
        </w:rPr>
        <w:t xml:space="preserve"> may not exceed the HUD Fair Marke</w:t>
      </w:r>
      <w:r w:rsidR="00305079" w:rsidRPr="00F51EF8">
        <w:rPr>
          <w:rFonts w:cs="Times New Roman"/>
          <w:color w:val="000000" w:themeColor="text1"/>
          <w:sz w:val="24"/>
          <w:szCs w:val="24"/>
        </w:rPr>
        <w:t>t</w:t>
      </w:r>
      <w:r w:rsidRPr="00F51EF8">
        <w:rPr>
          <w:rFonts w:cs="Times New Roman"/>
          <w:color w:val="000000" w:themeColor="text1"/>
          <w:sz w:val="24"/>
          <w:szCs w:val="24"/>
        </w:rPr>
        <w:t xml:space="preserve"> Rent (FMR) for the </w:t>
      </w:r>
      <w:r w:rsidR="00305079" w:rsidRPr="00F51EF8">
        <w:rPr>
          <w:rFonts w:cs="Times New Roman"/>
          <w:color w:val="000000" w:themeColor="text1"/>
          <w:sz w:val="24"/>
          <w:szCs w:val="24"/>
        </w:rPr>
        <w:t xml:space="preserve">jurisdiction and must </w:t>
      </w:r>
      <w:r w:rsidR="00E31EA9" w:rsidRPr="00F51EF8">
        <w:rPr>
          <w:rFonts w:cs="Times New Roman"/>
          <w:color w:val="000000" w:themeColor="text1"/>
          <w:sz w:val="24"/>
          <w:szCs w:val="24"/>
        </w:rPr>
        <w:t>comply with HUD’s</w:t>
      </w:r>
      <w:r w:rsidR="00305079" w:rsidRPr="00F51EF8">
        <w:rPr>
          <w:rFonts w:cs="Times New Roman"/>
          <w:color w:val="000000" w:themeColor="text1"/>
          <w:sz w:val="24"/>
          <w:szCs w:val="24"/>
        </w:rPr>
        <w:t xml:space="preserve"> rent reasonableness standards. </w:t>
      </w:r>
    </w:p>
    <w:p w14:paraId="183CCF52" w14:textId="129F3204" w:rsidR="000238F4" w:rsidRPr="00B34A99" w:rsidRDefault="000238F4" w:rsidP="000238F4">
      <w:pPr>
        <w:pStyle w:val="ListParagraph"/>
        <w:numPr>
          <w:ilvl w:val="0"/>
          <w:numId w:val="10"/>
        </w:numPr>
        <w:autoSpaceDE w:val="0"/>
        <w:autoSpaceDN w:val="0"/>
        <w:adjustRightInd w:val="0"/>
        <w:spacing w:after="0" w:line="240" w:lineRule="auto"/>
        <w:ind w:left="360"/>
        <w:rPr>
          <w:rFonts w:cs="Times New Roman"/>
          <w:sz w:val="24"/>
          <w:szCs w:val="24"/>
          <w:u w:val="single"/>
        </w:rPr>
      </w:pPr>
      <w:r w:rsidRPr="00B34A99">
        <w:rPr>
          <w:rFonts w:cs="Times New Roman"/>
          <w:sz w:val="24"/>
          <w:szCs w:val="24"/>
        </w:rPr>
        <w:t xml:space="preserve">Tenant rent contribution for households utilizing the 65% cap is based on gross income without any deductions </w:t>
      </w:r>
      <w:r w:rsidRPr="00B34A99">
        <w:rPr>
          <w:rFonts w:cstheme="minorHAnsi"/>
          <w:sz w:val="24"/>
          <w:szCs w:val="24"/>
        </w:rPr>
        <w:t>(does not apply to bridge model)</w:t>
      </w:r>
      <w:r w:rsidRPr="00B34A99">
        <w:rPr>
          <w:rFonts w:cs="Times New Roman"/>
          <w:sz w:val="24"/>
          <w:szCs w:val="24"/>
        </w:rPr>
        <w:t>.</w:t>
      </w:r>
    </w:p>
    <w:p w14:paraId="3C44033B" w14:textId="317B3472" w:rsidR="000238F4" w:rsidRPr="00B34A99" w:rsidRDefault="000238F4" w:rsidP="000238F4">
      <w:pPr>
        <w:pStyle w:val="ListParagraph"/>
        <w:numPr>
          <w:ilvl w:val="0"/>
          <w:numId w:val="7"/>
        </w:numPr>
        <w:autoSpaceDE w:val="0"/>
        <w:autoSpaceDN w:val="0"/>
        <w:adjustRightInd w:val="0"/>
        <w:spacing w:after="0" w:line="240" w:lineRule="auto"/>
        <w:ind w:left="360"/>
        <w:rPr>
          <w:rFonts w:cs="Times New Roman"/>
          <w:iCs w:val="0"/>
          <w:sz w:val="24"/>
          <w:szCs w:val="24"/>
          <w:u w:val="single"/>
        </w:rPr>
      </w:pPr>
      <w:r w:rsidRPr="00B34A99">
        <w:rPr>
          <w:rFonts w:cs="Times New Roman"/>
          <w:sz w:val="24"/>
          <w:szCs w:val="24"/>
        </w:rPr>
        <w:lastRenderedPageBreak/>
        <w:t>Where tenant rent contribution is based on income (i.e., Bridge model or households utilizing 65% cap) calculations f</w:t>
      </w:r>
      <w:r w:rsidRPr="00B34A99">
        <w:rPr>
          <w:rFonts w:ascii="Calibri" w:hAnsi="Calibri"/>
          <w:sz w:val="24"/>
          <w:szCs w:val="24"/>
        </w:rPr>
        <w:t xml:space="preserve">ollow </w:t>
      </w:r>
      <w:proofErr w:type="spellStart"/>
      <w:r w:rsidRPr="00B34A99">
        <w:rPr>
          <w:rFonts w:ascii="Calibri" w:hAnsi="Calibri"/>
          <w:sz w:val="24"/>
          <w:szCs w:val="24"/>
        </w:rPr>
        <w:t>CoC</w:t>
      </w:r>
      <w:proofErr w:type="spellEnd"/>
      <w:r w:rsidRPr="00B34A99">
        <w:rPr>
          <w:rFonts w:ascii="Calibri" w:hAnsi="Calibri"/>
          <w:sz w:val="24"/>
          <w:szCs w:val="24"/>
        </w:rPr>
        <w:t xml:space="preserve"> rules for utility allowance.</w:t>
      </w:r>
    </w:p>
    <w:p w14:paraId="5E97CC82" w14:textId="42F8C961" w:rsidR="000238F4" w:rsidRPr="00440AB7" w:rsidRDefault="000238F4" w:rsidP="000238F4">
      <w:pPr>
        <w:pStyle w:val="ListParagraph"/>
        <w:numPr>
          <w:ilvl w:val="0"/>
          <w:numId w:val="7"/>
        </w:numPr>
        <w:autoSpaceDE w:val="0"/>
        <w:autoSpaceDN w:val="0"/>
        <w:adjustRightInd w:val="0"/>
        <w:spacing w:after="0" w:line="240" w:lineRule="auto"/>
        <w:ind w:left="360"/>
        <w:rPr>
          <w:rFonts w:cs="Times New Roman"/>
          <w:iCs w:val="0"/>
          <w:sz w:val="24"/>
          <w:szCs w:val="24"/>
        </w:rPr>
      </w:pPr>
      <w:r w:rsidRPr="00440AB7">
        <w:rPr>
          <w:rFonts w:cs="Times New Roman"/>
          <w:iCs w:val="0"/>
          <w:sz w:val="24"/>
          <w:szCs w:val="24"/>
        </w:rPr>
        <w:t xml:space="preserve">Where the subsidy is calculated as a percent of rent, use monthly </w:t>
      </w:r>
      <w:r w:rsidR="00440AB7" w:rsidRPr="00440AB7">
        <w:rPr>
          <w:rFonts w:cs="Times New Roman"/>
          <w:iCs w:val="0"/>
          <w:sz w:val="24"/>
          <w:szCs w:val="24"/>
        </w:rPr>
        <w:t xml:space="preserve">contract </w:t>
      </w:r>
      <w:r w:rsidRPr="00440AB7">
        <w:rPr>
          <w:rFonts w:cs="Times New Roman"/>
          <w:iCs w:val="0"/>
          <w:sz w:val="24"/>
          <w:szCs w:val="24"/>
        </w:rPr>
        <w:t xml:space="preserve">rent </w:t>
      </w:r>
      <w:r w:rsidR="00440AB7" w:rsidRPr="00440AB7">
        <w:rPr>
          <w:rFonts w:cs="Times New Roman"/>
          <w:iCs w:val="0"/>
          <w:sz w:val="24"/>
          <w:szCs w:val="24"/>
        </w:rPr>
        <w:t xml:space="preserve">(i.e., rent </w:t>
      </w:r>
      <w:r w:rsidRPr="00440AB7">
        <w:rPr>
          <w:rFonts w:cs="Times New Roman"/>
          <w:iCs w:val="0"/>
          <w:sz w:val="24"/>
          <w:szCs w:val="24"/>
        </w:rPr>
        <w:t xml:space="preserve">owed to the landlord </w:t>
      </w:r>
      <w:r w:rsidR="00440AB7" w:rsidRPr="00440AB7">
        <w:rPr>
          <w:rFonts w:cs="Times New Roman"/>
          <w:iCs w:val="0"/>
          <w:sz w:val="24"/>
          <w:szCs w:val="24"/>
        </w:rPr>
        <w:t>plus</w:t>
      </w:r>
      <w:r w:rsidRPr="00440AB7">
        <w:rPr>
          <w:rFonts w:cs="Times New Roman"/>
          <w:iCs w:val="0"/>
          <w:sz w:val="24"/>
          <w:szCs w:val="24"/>
        </w:rPr>
        <w:t xml:space="preserve"> </w:t>
      </w:r>
      <w:r w:rsidR="00DB1936">
        <w:rPr>
          <w:rFonts w:cs="Times New Roman"/>
          <w:iCs w:val="0"/>
          <w:sz w:val="24"/>
          <w:szCs w:val="24"/>
        </w:rPr>
        <w:t xml:space="preserve">any applicable </w:t>
      </w:r>
      <w:r w:rsidRPr="00440AB7">
        <w:rPr>
          <w:rFonts w:cs="Times New Roman"/>
          <w:iCs w:val="0"/>
          <w:sz w:val="24"/>
          <w:szCs w:val="24"/>
        </w:rPr>
        <w:t>utility allowance</w:t>
      </w:r>
      <w:r w:rsidR="00440AB7" w:rsidRPr="00440AB7">
        <w:rPr>
          <w:rFonts w:cs="Times New Roman"/>
          <w:iCs w:val="0"/>
          <w:sz w:val="24"/>
          <w:szCs w:val="24"/>
        </w:rPr>
        <w:t>)</w:t>
      </w:r>
      <w:r w:rsidR="003D09C4">
        <w:rPr>
          <w:rFonts w:cs="Times New Roman"/>
          <w:iCs w:val="0"/>
          <w:sz w:val="24"/>
          <w:szCs w:val="24"/>
        </w:rPr>
        <w:t xml:space="preserve"> (this is required by HUD)</w:t>
      </w:r>
      <w:r w:rsidRPr="00440AB7">
        <w:rPr>
          <w:rFonts w:cs="Times New Roman"/>
          <w:iCs w:val="0"/>
          <w:sz w:val="24"/>
          <w:szCs w:val="24"/>
        </w:rPr>
        <w:t>.</w:t>
      </w:r>
    </w:p>
    <w:p w14:paraId="6A0CD8B3" w14:textId="36E13931" w:rsidR="000238F4" w:rsidRPr="00D750C3" w:rsidRDefault="000238F4" w:rsidP="000238F4">
      <w:pPr>
        <w:pStyle w:val="ListParagraph"/>
        <w:numPr>
          <w:ilvl w:val="0"/>
          <w:numId w:val="7"/>
        </w:numPr>
        <w:autoSpaceDE w:val="0"/>
        <w:autoSpaceDN w:val="0"/>
        <w:adjustRightInd w:val="0"/>
        <w:spacing w:after="0" w:line="240" w:lineRule="auto"/>
        <w:ind w:left="360"/>
        <w:rPr>
          <w:rFonts w:cs="Times New Roman"/>
          <w:iCs w:val="0"/>
          <w:color w:val="000000" w:themeColor="text1"/>
          <w:sz w:val="24"/>
          <w:szCs w:val="24"/>
          <w:u w:val="single"/>
        </w:rPr>
      </w:pPr>
      <w:r w:rsidRPr="00D750C3">
        <w:rPr>
          <w:rFonts w:ascii="Calibri" w:hAnsi="Calibri" w:cs="Times New Roman"/>
          <w:color w:val="000000" w:themeColor="text1"/>
          <w:sz w:val="24"/>
          <w:szCs w:val="24"/>
        </w:rPr>
        <w:t>Particip</w:t>
      </w:r>
      <w:r w:rsidRPr="00D750C3">
        <w:rPr>
          <w:rFonts w:cs="Times New Roman"/>
          <w:color w:val="000000" w:themeColor="text1"/>
          <w:sz w:val="24"/>
          <w:szCs w:val="24"/>
        </w:rPr>
        <w:t>ants must report decreases and increases to monthly income of more than $40 within 10 days of the change</w:t>
      </w:r>
      <w:r w:rsidR="00DB1876" w:rsidRPr="00D750C3">
        <w:rPr>
          <w:rFonts w:cs="Times New Roman"/>
          <w:color w:val="000000" w:themeColor="text1"/>
          <w:sz w:val="24"/>
          <w:szCs w:val="24"/>
        </w:rPr>
        <w:t xml:space="preserve"> (this is the DMHAS </w:t>
      </w:r>
      <w:proofErr w:type="spellStart"/>
      <w:r w:rsidR="00DB1876" w:rsidRPr="00D750C3">
        <w:rPr>
          <w:rFonts w:cs="Times New Roman"/>
          <w:color w:val="000000" w:themeColor="text1"/>
          <w:sz w:val="24"/>
          <w:szCs w:val="24"/>
        </w:rPr>
        <w:t>CoC</w:t>
      </w:r>
      <w:proofErr w:type="spellEnd"/>
      <w:r w:rsidR="00DB1876" w:rsidRPr="00D750C3">
        <w:rPr>
          <w:rFonts w:cs="Times New Roman"/>
          <w:color w:val="000000" w:themeColor="text1"/>
          <w:sz w:val="24"/>
          <w:szCs w:val="24"/>
        </w:rPr>
        <w:t xml:space="preserve"> RA requirement)</w:t>
      </w:r>
      <w:r w:rsidR="00F51EF8" w:rsidRPr="00D750C3">
        <w:rPr>
          <w:rFonts w:cs="Times New Roman"/>
          <w:color w:val="000000" w:themeColor="text1"/>
          <w:sz w:val="24"/>
          <w:szCs w:val="24"/>
        </w:rPr>
        <w:t>.</w:t>
      </w:r>
    </w:p>
    <w:p w14:paraId="7991D106" w14:textId="17561C11" w:rsidR="000238F4" w:rsidRPr="00D750C3" w:rsidRDefault="000238F4" w:rsidP="000238F4">
      <w:pPr>
        <w:pStyle w:val="ListParagraph"/>
        <w:numPr>
          <w:ilvl w:val="0"/>
          <w:numId w:val="7"/>
        </w:numPr>
        <w:autoSpaceDE w:val="0"/>
        <w:autoSpaceDN w:val="0"/>
        <w:adjustRightInd w:val="0"/>
        <w:spacing w:after="0" w:line="240" w:lineRule="auto"/>
        <w:ind w:left="360"/>
        <w:rPr>
          <w:rFonts w:cs="Times New Roman"/>
          <w:iCs w:val="0"/>
          <w:color w:val="000000" w:themeColor="text1"/>
          <w:sz w:val="24"/>
          <w:szCs w:val="24"/>
          <w:u w:val="single"/>
        </w:rPr>
      </w:pPr>
      <w:r w:rsidRPr="00D750C3">
        <w:rPr>
          <w:rFonts w:cs="Times New Roman"/>
          <w:color w:val="000000" w:themeColor="text1"/>
          <w:sz w:val="24"/>
          <w:szCs w:val="24"/>
        </w:rPr>
        <w:t>Assets up to $5,000 do not impact tenant rent</w:t>
      </w:r>
      <w:r w:rsidR="00DB1876" w:rsidRPr="00D750C3">
        <w:rPr>
          <w:rFonts w:cs="Times New Roman"/>
          <w:color w:val="000000" w:themeColor="text1"/>
          <w:sz w:val="24"/>
          <w:szCs w:val="24"/>
        </w:rPr>
        <w:t xml:space="preserve"> (this is the HUD </w:t>
      </w:r>
      <w:proofErr w:type="spellStart"/>
      <w:r w:rsidR="00DB1876" w:rsidRPr="00D750C3">
        <w:rPr>
          <w:rFonts w:cs="Times New Roman"/>
          <w:color w:val="000000" w:themeColor="text1"/>
          <w:sz w:val="24"/>
          <w:szCs w:val="24"/>
        </w:rPr>
        <w:t>CoC</w:t>
      </w:r>
      <w:proofErr w:type="spellEnd"/>
      <w:r w:rsidR="00DB1876" w:rsidRPr="00D750C3">
        <w:rPr>
          <w:rFonts w:cs="Times New Roman"/>
          <w:color w:val="000000" w:themeColor="text1"/>
          <w:sz w:val="24"/>
          <w:szCs w:val="24"/>
        </w:rPr>
        <w:t xml:space="preserve"> Rule for </w:t>
      </w:r>
      <w:r w:rsidR="00AD2853" w:rsidRPr="00D750C3">
        <w:rPr>
          <w:rFonts w:cs="Times New Roman"/>
          <w:color w:val="000000" w:themeColor="text1"/>
          <w:sz w:val="24"/>
          <w:szCs w:val="24"/>
        </w:rPr>
        <w:t>other program types)</w:t>
      </w:r>
      <w:r w:rsidRPr="00D750C3">
        <w:rPr>
          <w:rFonts w:cs="Times New Roman"/>
          <w:color w:val="000000" w:themeColor="text1"/>
          <w:sz w:val="24"/>
          <w:szCs w:val="24"/>
        </w:rPr>
        <w:t>. Exception approval is required to provide RRH assistance to anyone with assets exceeding $5,000.</w:t>
      </w:r>
    </w:p>
    <w:p w14:paraId="05D52D5F" w14:textId="25CE2BFB" w:rsidR="00006A3A" w:rsidRPr="00D750C3" w:rsidRDefault="00542BD1" w:rsidP="00006A3A">
      <w:pPr>
        <w:pStyle w:val="ListParagraph"/>
        <w:numPr>
          <w:ilvl w:val="0"/>
          <w:numId w:val="7"/>
        </w:numPr>
        <w:autoSpaceDE w:val="0"/>
        <w:autoSpaceDN w:val="0"/>
        <w:adjustRightInd w:val="0"/>
        <w:spacing w:after="0" w:line="240" w:lineRule="auto"/>
        <w:ind w:left="360"/>
        <w:rPr>
          <w:rFonts w:cs="Times New Roman"/>
          <w:iCs w:val="0"/>
          <w:color w:val="000000" w:themeColor="text1"/>
          <w:sz w:val="24"/>
          <w:szCs w:val="24"/>
          <w:u w:val="single"/>
        </w:rPr>
      </w:pPr>
      <w:r w:rsidRPr="00D750C3">
        <w:rPr>
          <w:rFonts w:cs="Times New Roman"/>
          <w:iCs w:val="0"/>
          <w:color w:val="000000" w:themeColor="text1"/>
          <w:sz w:val="24"/>
          <w:szCs w:val="24"/>
        </w:rPr>
        <w:t>If continued assistance is authorized</w:t>
      </w:r>
      <w:r w:rsidR="00A13189">
        <w:rPr>
          <w:rStyle w:val="FootnoteReference"/>
          <w:rFonts w:cs="Times New Roman"/>
          <w:iCs w:val="0"/>
          <w:color w:val="000000" w:themeColor="text1"/>
          <w:sz w:val="24"/>
          <w:szCs w:val="24"/>
        </w:rPr>
        <w:footnoteReference w:id="3"/>
      </w:r>
      <w:r w:rsidRPr="00D750C3">
        <w:rPr>
          <w:rFonts w:cs="Times New Roman"/>
          <w:iCs w:val="0"/>
          <w:color w:val="000000" w:themeColor="text1"/>
          <w:sz w:val="24"/>
          <w:szCs w:val="24"/>
        </w:rPr>
        <w:t>, the subsidy will continue to pay 20% of rent with adjustments to the subsidy amount</w:t>
      </w:r>
      <w:r w:rsidR="00693F7E" w:rsidRPr="00D750C3">
        <w:rPr>
          <w:rFonts w:cs="Times New Roman"/>
          <w:iCs w:val="0"/>
          <w:color w:val="000000" w:themeColor="text1"/>
          <w:sz w:val="24"/>
          <w:szCs w:val="24"/>
        </w:rPr>
        <w:t>,</w:t>
      </w:r>
      <w:r w:rsidRPr="00D750C3">
        <w:rPr>
          <w:rFonts w:cs="Times New Roman"/>
          <w:iCs w:val="0"/>
          <w:color w:val="000000" w:themeColor="text1"/>
          <w:sz w:val="24"/>
          <w:szCs w:val="24"/>
        </w:rPr>
        <w:t xml:space="preserve"> as necessary</w:t>
      </w:r>
      <w:r w:rsidR="00693F7E" w:rsidRPr="00D750C3">
        <w:rPr>
          <w:rFonts w:cs="Times New Roman"/>
          <w:iCs w:val="0"/>
          <w:color w:val="000000" w:themeColor="text1"/>
          <w:sz w:val="24"/>
          <w:szCs w:val="24"/>
        </w:rPr>
        <w:t>,</w:t>
      </w:r>
      <w:r w:rsidRPr="00D750C3">
        <w:rPr>
          <w:rFonts w:cs="Times New Roman"/>
          <w:iCs w:val="0"/>
          <w:color w:val="000000" w:themeColor="text1"/>
          <w:sz w:val="24"/>
          <w:szCs w:val="24"/>
        </w:rPr>
        <w:t xml:space="preserve"> to cap </w:t>
      </w:r>
      <w:r w:rsidRPr="00D750C3">
        <w:rPr>
          <w:rFonts w:cstheme="minorHAnsi"/>
          <w:color w:val="000000" w:themeColor="text1"/>
          <w:sz w:val="24"/>
          <w:szCs w:val="24"/>
        </w:rPr>
        <w:t>combined tenant rent and utility allowance contribution at 65% of gross household income</w:t>
      </w:r>
      <w:r w:rsidR="00693F7E" w:rsidRPr="00D750C3">
        <w:rPr>
          <w:rFonts w:cstheme="minorHAnsi"/>
          <w:color w:val="000000" w:themeColor="text1"/>
          <w:sz w:val="24"/>
          <w:szCs w:val="24"/>
        </w:rPr>
        <w:t xml:space="preserve"> (does not apply to bridge model)</w:t>
      </w:r>
      <w:r w:rsidRPr="00D750C3">
        <w:rPr>
          <w:rFonts w:cstheme="minorHAnsi"/>
          <w:color w:val="000000" w:themeColor="text1"/>
          <w:sz w:val="24"/>
          <w:szCs w:val="24"/>
        </w:rPr>
        <w:t>.</w:t>
      </w:r>
    </w:p>
    <w:p w14:paraId="79D121ED" w14:textId="102CD984" w:rsidR="00006A3A" w:rsidRPr="00D750C3" w:rsidRDefault="00006A3A" w:rsidP="00006A3A">
      <w:pPr>
        <w:pStyle w:val="ListParagraph"/>
        <w:numPr>
          <w:ilvl w:val="0"/>
          <w:numId w:val="7"/>
        </w:numPr>
        <w:autoSpaceDE w:val="0"/>
        <w:autoSpaceDN w:val="0"/>
        <w:adjustRightInd w:val="0"/>
        <w:spacing w:after="0" w:line="240" w:lineRule="auto"/>
        <w:ind w:left="360"/>
        <w:rPr>
          <w:rFonts w:cs="Times New Roman"/>
          <w:iCs w:val="0"/>
          <w:color w:val="000000" w:themeColor="text1"/>
          <w:sz w:val="24"/>
          <w:szCs w:val="24"/>
          <w:u w:val="single"/>
        </w:rPr>
      </w:pPr>
      <w:r w:rsidRPr="00D750C3">
        <w:rPr>
          <w:rFonts w:cs="Times New Roman"/>
          <w:color w:val="000000" w:themeColor="text1"/>
          <w:sz w:val="24"/>
          <w:szCs w:val="24"/>
        </w:rPr>
        <w:t>Case management assistance, if necessary, may continue beyond the termination of rental assistance</w:t>
      </w:r>
      <w:r w:rsidR="00B01736" w:rsidRPr="00D750C3">
        <w:rPr>
          <w:rFonts w:cs="Times New Roman"/>
          <w:color w:val="000000" w:themeColor="text1"/>
          <w:sz w:val="24"/>
          <w:szCs w:val="24"/>
        </w:rPr>
        <w:t xml:space="preserve"> (to be further clarified in final written standards).</w:t>
      </w:r>
    </w:p>
    <w:p w14:paraId="25E98C34" w14:textId="77777777" w:rsidR="002F7743" w:rsidRPr="002F7743" w:rsidRDefault="00006A3A" w:rsidP="002F7743">
      <w:pPr>
        <w:pStyle w:val="ListParagraph"/>
        <w:numPr>
          <w:ilvl w:val="0"/>
          <w:numId w:val="7"/>
        </w:numPr>
        <w:autoSpaceDE w:val="0"/>
        <w:autoSpaceDN w:val="0"/>
        <w:adjustRightInd w:val="0"/>
        <w:spacing w:after="0" w:line="240" w:lineRule="auto"/>
        <w:ind w:left="360"/>
        <w:rPr>
          <w:rFonts w:cs="Times New Roman"/>
          <w:iCs w:val="0"/>
          <w:color w:val="000000" w:themeColor="text1"/>
          <w:sz w:val="24"/>
          <w:szCs w:val="24"/>
          <w:u w:val="single"/>
        </w:rPr>
      </w:pPr>
      <w:r w:rsidRPr="00D750C3">
        <w:rPr>
          <w:rFonts w:cs="Times New Roman"/>
          <w:color w:val="000000" w:themeColor="text1"/>
          <w:sz w:val="24"/>
          <w:szCs w:val="24"/>
        </w:rPr>
        <w:t xml:space="preserve">Under no circumstances can rental assistance </w:t>
      </w:r>
      <w:r w:rsidR="007F1FE2" w:rsidRPr="00D750C3">
        <w:rPr>
          <w:rFonts w:cs="Times New Roman"/>
          <w:color w:val="000000" w:themeColor="text1"/>
          <w:sz w:val="24"/>
          <w:szCs w:val="24"/>
        </w:rPr>
        <w:t xml:space="preserve">and/or case management </w:t>
      </w:r>
      <w:r w:rsidRPr="00D750C3">
        <w:rPr>
          <w:rFonts w:cs="Times New Roman"/>
          <w:color w:val="000000" w:themeColor="text1"/>
          <w:sz w:val="24"/>
          <w:szCs w:val="24"/>
        </w:rPr>
        <w:t>continue beyond 24 month</w:t>
      </w:r>
      <w:r w:rsidR="003D09C4" w:rsidRPr="00D750C3">
        <w:rPr>
          <w:rFonts w:cs="Times New Roman"/>
          <w:color w:val="000000" w:themeColor="text1"/>
          <w:sz w:val="24"/>
          <w:szCs w:val="24"/>
        </w:rPr>
        <w:t>s</w:t>
      </w:r>
      <w:r w:rsidR="007F1FE2" w:rsidRPr="00D750C3">
        <w:rPr>
          <w:rFonts w:cs="Times New Roman"/>
          <w:color w:val="000000" w:themeColor="text1"/>
          <w:sz w:val="24"/>
          <w:szCs w:val="24"/>
        </w:rPr>
        <w:t xml:space="preserve"> (this is the HUD </w:t>
      </w:r>
      <w:proofErr w:type="spellStart"/>
      <w:r w:rsidR="007F1FE2" w:rsidRPr="00D750C3">
        <w:rPr>
          <w:rFonts w:cs="Times New Roman"/>
          <w:color w:val="000000" w:themeColor="text1"/>
          <w:sz w:val="24"/>
          <w:szCs w:val="24"/>
        </w:rPr>
        <w:t>CoC</w:t>
      </w:r>
      <w:proofErr w:type="spellEnd"/>
      <w:r w:rsidR="007F1FE2" w:rsidRPr="00D750C3">
        <w:rPr>
          <w:rFonts w:cs="Times New Roman"/>
          <w:color w:val="000000" w:themeColor="text1"/>
          <w:sz w:val="24"/>
          <w:szCs w:val="24"/>
        </w:rPr>
        <w:t xml:space="preserve"> requirement for </w:t>
      </w:r>
      <w:r w:rsidR="00213018" w:rsidRPr="00D750C3">
        <w:rPr>
          <w:rFonts w:cs="Times New Roman"/>
          <w:color w:val="000000" w:themeColor="text1"/>
          <w:sz w:val="24"/>
          <w:szCs w:val="24"/>
        </w:rPr>
        <w:t>RRH RA</w:t>
      </w:r>
      <w:r w:rsidR="007F1FE2" w:rsidRPr="00D750C3">
        <w:rPr>
          <w:rFonts w:cs="Times New Roman"/>
          <w:color w:val="000000" w:themeColor="text1"/>
          <w:sz w:val="24"/>
          <w:szCs w:val="24"/>
        </w:rPr>
        <w:t>)</w:t>
      </w:r>
    </w:p>
    <w:p w14:paraId="36F1AF7B" w14:textId="77777777" w:rsidR="002F7743" w:rsidRPr="002F7743" w:rsidRDefault="002F7743" w:rsidP="002F7743">
      <w:pPr>
        <w:pStyle w:val="ListParagraph"/>
        <w:numPr>
          <w:ilvl w:val="0"/>
          <w:numId w:val="7"/>
        </w:numPr>
        <w:autoSpaceDE w:val="0"/>
        <w:autoSpaceDN w:val="0"/>
        <w:adjustRightInd w:val="0"/>
        <w:spacing w:after="0" w:line="240" w:lineRule="auto"/>
        <w:ind w:left="360"/>
        <w:rPr>
          <w:rFonts w:cs="Times New Roman"/>
          <w:iCs w:val="0"/>
          <w:color w:val="000000" w:themeColor="text1"/>
          <w:sz w:val="24"/>
          <w:szCs w:val="24"/>
          <w:u w:val="single"/>
        </w:rPr>
      </w:pPr>
      <w:r w:rsidRPr="002F7743">
        <w:rPr>
          <w:rFonts w:cs="Times New Roman"/>
          <w:sz w:val="24"/>
          <w:szCs w:val="24"/>
        </w:rPr>
        <w:t>For each periodic assessment, projects must retain proof of income for all household members in participant files.</w:t>
      </w:r>
    </w:p>
    <w:p w14:paraId="70ECE324" w14:textId="77777777" w:rsidR="002F7743" w:rsidRPr="001D697A" w:rsidRDefault="002F7743" w:rsidP="002F7743">
      <w:pPr>
        <w:pStyle w:val="ListParagraph"/>
        <w:numPr>
          <w:ilvl w:val="0"/>
          <w:numId w:val="7"/>
        </w:numPr>
        <w:autoSpaceDE w:val="0"/>
        <w:autoSpaceDN w:val="0"/>
        <w:adjustRightInd w:val="0"/>
        <w:spacing w:after="0" w:line="240" w:lineRule="auto"/>
        <w:ind w:left="360"/>
        <w:rPr>
          <w:rFonts w:cs="Times New Roman"/>
          <w:iCs w:val="0"/>
          <w:sz w:val="24"/>
          <w:szCs w:val="24"/>
        </w:rPr>
      </w:pPr>
      <w:r w:rsidRPr="001D697A">
        <w:rPr>
          <w:rFonts w:cs="Times New Roman"/>
          <w:iCs w:val="0"/>
          <w:sz w:val="24"/>
          <w:szCs w:val="24"/>
        </w:rPr>
        <w:t xml:space="preserve">Prior to initial rental and at least annually, projects must document rent reasonableness based on 3 comparable units.  </w:t>
      </w:r>
      <w:r w:rsidRPr="001D697A">
        <w:rPr>
          <w:sz w:val="24"/>
          <w:szCs w:val="24"/>
        </w:rPr>
        <w:t>Sample “Rent Reasonableness Checklist and Certification” form -</w:t>
      </w:r>
      <w:hyperlink r:id="rId7" w:history="1">
        <w:r w:rsidRPr="001D697A">
          <w:rPr>
            <w:rStyle w:val="Hyperlink"/>
            <w:i/>
          </w:rPr>
          <w:t>https://www.hudexchange.info/resources/documents/RentReasonableChecklist.pdf</w:t>
        </w:r>
      </w:hyperlink>
    </w:p>
    <w:p w14:paraId="4AD2D204" w14:textId="77777777" w:rsidR="002F7743" w:rsidRDefault="002F7743" w:rsidP="002F7743">
      <w:pPr>
        <w:ind w:left="360"/>
        <w:rPr>
          <w:rStyle w:val="Hyperlink"/>
          <w:i/>
          <w:color w:val="auto"/>
          <w:u w:val="none"/>
        </w:rPr>
      </w:pPr>
      <w:r w:rsidRPr="001D697A">
        <w:rPr>
          <w:i/>
        </w:rPr>
        <w:t>Additional information is available at:</w:t>
      </w:r>
      <w:r>
        <w:rPr>
          <w:i/>
        </w:rPr>
        <w:t xml:space="preserve"> </w:t>
      </w:r>
      <w:hyperlink r:id="rId8" w:history="1">
        <w:r w:rsidRPr="001D697A">
          <w:rPr>
            <w:rStyle w:val="Hyperlink"/>
            <w:i/>
          </w:rPr>
          <w:t>https://www.hudexchange.info/resources/documents/CoC-Rent-Reasonableness-and-FMR.pdf</w:t>
        </w:r>
      </w:hyperlink>
    </w:p>
    <w:p w14:paraId="14CFB9B3" w14:textId="77777777" w:rsidR="002F7743" w:rsidRPr="00AC203F" w:rsidRDefault="002F7743" w:rsidP="002F7743">
      <w:pPr>
        <w:pStyle w:val="ListParagraph"/>
        <w:numPr>
          <w:ilvl w:val="0"/>
          <w:numId w:val="7"/>
        </w:numPr>
        <w:ind w:left="360"/>
        <w:rPr>
          <w:i/>
          <w:sz w:val="21"/>
        </w:rPr>
      </w:pPr>
      <w:r w:rsidRPr="00AC203F">
        <w:rPr>
          <w:rFonts w:cs="Times New Roman"/>
          <w:iCs w:val="0"/>
          <w:sz w:val="24"/>
          <w:szCs w:val="24"/>
        </w:rPr>
        <w:t xml:space="preserve">Prior to initial rental and at least annually, projects must </w:t>
      </w:r>
      <w:r>
        <w:rPr>
          <w:rFonts w:cs="Times New Roman"/>
          <w:iCs w:val="0"/>
          <w:sz w:val="24"/>
          <w:szCs w:val="24"/>
        </w:rPr>
        <w:t>document i</w:t>
      </w:r>
      <w:r w:rsidRPr="00AC203F">
        <w:rPr>
          <w:rFonts w:cs="Times New Roman"/>
          <w:iCs w:val="0"/>
          <w:sz w:val="24"/>
          <w:szCs w:val="24"/>
        </w:rPr>
        <w:t>nspect</w:t>
      </w:r>
      <w:r>
        <w:rPr>
          <w:rFonts w:cs="Times New Roman"/>
          <w:iCs w:val="0"/>
          <w:sz w:val="24"/>
          <w:szCs w:val="24"/>
        </w:rPr>
        <w:t>ion of</w:t>
      </w:r>
      <w:r w:rsidRPr="00AC203F">
        <w:rPr>
          <w:rFonts w:cs="Times New Roman"/>
          <w:iCs w:val="0"/>
          <w:sz w:val="24"/>
          <w:szCs w:val="24"/>
        </w:rPr>
        <w:t xml:space="preserve"> the unit using </w:t>
      </w:r>
      <w:r w:rsidRPr="00AC203F">
        <w:rPr>
          <w:sz w:val="24"/>
          <w:szCs w:val="24"/>
        </w:rPr>
        <w:t>HUD Housing Quality Standards</w:t>
      </w:r>
      <w:r>
        <w:rPr>
          <w:sz w:val="24"/>
          <w:szCs w:val="24"/>
        </w:rPr>
        <w:t>.</w:t>
      </w:r>
      <w:r w:rsidRPr="00AC203F">
        <w:rPr>
          <w:sz w:val="24"/>
          <w:szCs w:val="24"/>
        </w:rPr>
        <w:t xml:space="preserve"> </w:t>
      </w:r>
      <w:hyperlink r:id="rId9" w:history="1">
        <w:r w:rsidRPr="00AC203F">
          <w:rPr>
            <w:rStyle w:val="Hyperlink"/>
            <w:rFonts w:ascii="Verdana" w:hAnsi="Verdana"/>
            <w:sz w:val="20"/>
            <w:szCs w:val="20"/>
          </w:rPr>
          <w:t>http://portal.hud.gov/hudportal/documents/huddoc?id=52580.pdf</w:t>
        </w:r>
      </w:hyperlink>
    </w:p>
    <w:p w14:paraId="0013BE21" w14:textId="77777777" w:rsidR="002F7743" w:rsidRPr="001D697A" w:rsidRDefault="002F7743" w:rsidP="002F7743">
      <w:pPr>
        <w:pStyle w:val="ListParagraph"/>
        <w:numPr>
          <w:ilvl w:val="0"/>
          <w:numId w:val="7"/>
        </w:numPr>
        <w:spacing w:line="276" w:lineRule="auto"/>
        <w:ind w:left="360"/>
        <w:rPr>
          <w:sz w:val="24"/>
          <w:szCs w:val="24"/>
        </w:rPr>
      </w:pPr>
      <w:r>
        <w:rPr>
          <w:sz w:val="24"/>
          <w:szCs w:val="24"/>
        </w:rPr>
        <w:t xml:space="preserve">All staff conducting HQS inspections must document completion of the HUD </w:t>
      </w:r>
      <w:r w:rsidRPr="00DA2E69">
        <w:rPr>
          <w:sz w:val="24"/>
          <w:szCs w:val="24"/>
        </w:rPr>
        <w:t xml:space="preserve">Lead Based Paint </w:t>
      </w:r>
      <w:r>
        <w:rPr>
          <w:sz w:val="24"/>
          <w:szCs w:val="24"/>
        </w:rPr>
        <w:t xml:space="preserve">Visual Assessment Training.  </w:t>
      </w:r>
      <w:hyperlink r:id="rId10" w:history="1">
        <w:r w:rsidRPr="004557E5">
          <w:rPr>
            <w:rStyle w:val="Hyperlink"/>
            <w:sz w:val="24"/>
            <w:szCs w:val="24"/>
          </w:rPr>
          <w:t>www.hud.gov/offices/lead/training/visualassessment/h00101.htm</w:t>
        </w:r>
      </w:hyperlink>
    </w:p>
    <w:p w14:paraId="1071B103" w14:textId="77777777" w:rsidR="002F7743" w:rsidRDefault="002F7743" w:rsidP="002F7743">
      <w:pPr>
        <w:pStyle w:val="ListParagraph"/>
        <w:numPr>
          <w:ilvl w:val="0"/>
          <w:numId w:val="7"/>
        </w:numPr>
        <w:autoSpaceDE w:val="0"/>
        <w:autoSpaceDN w:val="0"/>
        <w:adjustRightInd w:val="0"/>
        <w:spacing w:after="0" w:line="240" w:lineRule="auto"/>
        <w:ind w:left="360"/>
        <w:rPr>
          <w:rFonts w:cs="Times New Roman"/>
          <w:iCs w:val="0"/>
          <w:sz w:val="24"/>
          <w:szCs w:val="24"/>
        </w:rPr>
      </w:pPr>
      <w:r>
        <w:rPr>
          <w:rFonts w:cs="Times New Roman"/>
          <w:iCs w:val="0"/>
          <w:sz w:val="24"/>
          <w:szCs w:val="24"/>
        </w:rPr>
        <w:t>Projects must document that RRH participants receive case management services at least monthly.</w:t>
      </w:r>
    </w:p>
    <w:p w14:paraId="74A07C55" w14:textId="77777777" w:rsidR="002F7743" w:rsidRDefault="002F7743" w:rsidP="002F7743">
      <w:pPr>
        <w:pStyle w:val="ListParagraph"/>
        <w:numPr>
          <w:ilvl w:val="0"/>
          <w:numId w:val="7"/>
        </w:numPr>
        <w:autoSpaceDE w:val="0"/>
        <w:autoSpaceDN w:val="0"/>
        <w:adjustRightInd w:val="0"/>
        <w:spacing w:after="0" w:line="240" w:lineRule="auto"/>
        <w:ind w:left="360"/>
        <w:rPr>
          <w:rFonts w:cs="Times New Roman"/>
          <w:iCs w:val="0"/>
          <w:sz w:val="24"/>
          <w:szCs w:val="24"/>
        </w:rPr>
      </w:pPr>
      <w:r>
        <w:rPr>
          <w:rFonts w:cs="Times New Roman"/>
          <w:iCs w:val="0"/>
          <w:sz w:val="24"/>
          <w:szCs w:val="24"/>
        </w:rPr>
        <w:t>Projects must document that the service needs of RRH participants are assessed at least annually.</w:t>
      </w:r>
    </w:p>
    <w:p w14:paraId="538A9C7D" w14:textId="77777777" w:rsidR="002F7743" w:rsidRPr="002F7743" w:rsidRDefault="002F7743" w:rsidP="002F7743">
      <w:pPr>
        <w:pStyle w:val="ListParagraph"/>
        <w:numPr>
          <w:ilvl w:val="0"/>
          <w:numId w:val="7"/>
        </w:numPr>
        <w:autoSpaceDE w:val="0"/>
        <w:autoSpaceDN w:val="0"/>
        <w:adjustRightInd w:val="0"/>
        <w:spacing w:after="0" w:line="240" w:lineRule="auto"/>
        <w:ind w:left="360"/>
        <w:rPr>
          <w:rFonts w:cs="Times New Roman"/>
          <w:iCs w:val="0"/>
          <w:color w:val="000000" w:themeColor="text1"/>
          <w:sz w:val="24"/>
          <w:szCs w:val="24"/>
          <w:u w:val="single"/>
        </w:rPr>
      </w:pPr>
      <w:r w:rsidRPr="002F7743">
        <w:rPr>
          <w:rFonts w:cs="Times New Roman"/>
          <w:sz w:val="24"/>
          <w:szCs w:val="24"/>
        </w:rPr>
        <w:t>Projects may not make exceptions to these standards without prior written approval from DOH.</w:t>
      </w:r>
    </w:p>
    <w:p w14:paraId="165173F2" w14:textId="61FFE34C" w:rsidR="00542BD1" w:rsidRPr="002F7743" w:rsidRDefault="00542BD1" w:rsidP="002F7743">
      <w:pPr>
        <w:autoSpaceDE w:val="0"/>
        <w:autoSpaceDN w:val="0"/>
        <w:adjustRightInd w:val="0"/>
        <w:spacing w:after="0" w:line="240" w:lineRule="auto"/>
        <w:rPr>
          <w:rFonts w:cs="Times New Roman"/>
          <w:sz w:val="24"/>
          <w:szCs w:val="24"/>
        </w:rPr>
      </w:pPr>
    </w:p>
    <w:p w14:paraId="1761FD57" w14:textId="35F1C5DF" w:rsidR="002F7743" w:rsidRDefault="002F7743" w:rsidP="002F7743">
      <w:pPr>
        <w:autoSpaceDE w:val="0"/>
        <w:autoSpaceDN w:val="0"/>
        <w:adjustRightInd w:val="0"/>
        <w:spacing w:after="0" w:line="240" w:lineRule="auto"/>
        <w:rPr>
          <w:rFonts w:cs="Times New Roman"/>
          <w:sz w:val="24"/>
          <w:szCs w:val="24"/>
        </w:rPr>
      </w:pPr>
    </w:p>
    <w:p w14:paraId="1740DED8" w14:textId="77777777" w:rsidR="002F7743" w:rsidRPr="002F7743" w:rsidRDefault="002F7743" w:rsidP="002F7743">
      <w:pPr>
        <w:autoSpaceDE w:val="0"/>
        <w:autoSpaceDN w:val="0"/>
        <w:adjustRightInd w:val="0"/>
        <w:spacing w:after="0" w:line="240" w:lineRule="auto"/>
        <w:rPr>
          <w:rFonts w:cs="Times New Roman"/>
          <w:sz w:val="24"/>
          <w:szCs w:val="24"/>
        </w:rPr>
      </w:pPr>
    </w:p>
    <w:sectPr w:rsidR="002F7743" w:rsidRPr="002F7743" w:rsidSect="008C2B8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0E134" w14:textId="77777777" w:rsidR="00444AC3" w:rsidRDefault="00444AC3" w:rsidP="00E25FD8">
      <w:pPr>
        <w:spacing w:after="0" w:line="240" w:lineRule="auto"/>
      </w:pPr>
      <w:r>
        <w:separator/>
      </w:r>
    </w:p>
  </w:endnote>
  <w:endnote w:type="continuationSeparator" w:id="0">
    <w:p w14:paraId="1FB9B986" w14:textId="77777777" w:rsidR="00444AC3" w:rsidRDefault="00444AC3" w:rsidP="00E2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3219302"/>
      <w:docPartObj>
        <w:docPartGallery w:val="Page Numbers (Bottom of Page)"/>
        <w:docPartUnique/>
      </w:docPartObj>
    </w:sdtPr>
    <w:sdtEndPr>
      <w:rPr>
        <w:rStyle w:val="PageNumber"/>
      </w:rPr>
    </w:sdtEndPr>
    <w:sdtContent>
      <w:p w14:paraId="776EDBF0" w14:textId="3FEA22DF" w:rsidR="008C2B86" w:rsidRDefault="008C2B86" w:rsidP="001D33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BB296" w14:textId="77777777" w:rsidR="008C2B86" w:rsidRDefault="008C2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6116275"/>
      <w:docPartObj>
        <w:docPartGallery w:val="Page Numbers (Bottom of Page)"/>
        <w:docPartUnique/>
      </w:docPartObj>
    </w:sdtPr>
    <w:sdtEndPr>
      <w:rPr>
        <w:rStyle w:val="PageNumber"/>
      </w:rPr>
    </w:sdtEndPr>
    <w:sdtContent>
      <w:p w14:paraId="1652F2A5" w14:textId="2156CB36" w:rsidR="008C2B86" w:rsidRDefault="008C2B86" w:rsidP="001D33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31EA9">
          <w:rPr>
            <w:rStyle w:val="PageNumber"/>
            <w:noProof/>
          </w:rPr>
          <w:t>3</w:t>
        </w:r>
        <w:r>
          <w:rPr>
            <w:rStyle w:val="PageNumber"/>
          </w:rPr>
          <w:fldChar w:fldCharType="end"/>
        </w:r>
      </w:p>
    </w:sdtContent>
  </w:sdt>
  <w:p w14:paraId="514D1CB3" w14:textId="73C40667" w:rsidR="008C2B86" w:rsidRDefault="00690C27" w:rsidP="00407873">
    <w:pPr>
      <w:pStyle w:val="Footer"/>
      <w:jc w:val="center"/>
    </w:pPr>
    <w:r w:rsidRPr="00635E59">
      <w:rPr>
        <w:rFonts w:ascii="Times New Roman" w:eastAsia="Times New Roman" w:hAnsi="Times New Roman" w:cs="Times New Roman"/>
        <w:iCs/>
        <w:sz w:val="24"/>
        <w:szCs w:val="24"/>
      </w:rPr>
      <w:fldChar w:fldCharType="begin"/>
    </w:r>
    <w:r w:rsidRPr="00635E59">
      <w:rPr>
        <w:rFonts w:ascii="Times New Roman" w:eastAsia="Times New Roman" w:hAnsi="Times New Roman" w:cs="Times New Roman"/>
        <w:sz w:val="24"/>
        <w:szCs w:val="24"/>
      </w:rPr>
      <w:instrText xml:space="preserve"> INCLUDEPICTURE "/var/folders/mj/lqs59tj56d557gw4twlmdh_h0000gp/T/com.microsoft.Word/WebArchiveCopyPasteTempFiles/page11image3025925040" \* MERGEFORMATINET </w:instrText>
    </w:r>
    <w:r w:rsidRPr="00635E59">
      <w:rPr>
        <w:rFonts w:ascii="Times New Roman" w:eastAsia="Times New Roman" w:hAnsi="Times New Roman" w:cs="Times New Roman"/>
        <w:iCs/>
        <w:sz w:val="24"/>
        <w:szCs w:val="24"/>
      </w:rPr>
      <w:fldChar w:fldCharType="separate"/>
    </w:r>
    <w:r w:rsidRPr="00635E59">
      <w:rPr>
        <w:rFonts w:ascii="Times New Roman" w:eastAsia="Times New Roman" w:hAnsi="Times New Roman" w:cs="Times New Roman"/>
        <w:iCs/>
        <w:noProof/>
        <w:sz w:val="24"/>
        <w:szCs w:val="24"/>
      </w:rPr>
      <w:drawing>
        <wp:inline distT="0" distB="0" distL="0" distR="0" wp14:anchorId="42368665" wp14:editId="40CE969A">
          <wp:extent cx="1232958" cy="514494"/>
          <wp:effectExtent l="0" t="0" r="0" b="0"/>
          <wp:docPr id="5" name="Picture 5" descr="page11image302592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1image30259250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409" cy="555159"/>
                  </a:xfrm>
                  <a:prstGeom prst="rect">
                    <a:avLst/>
                  </a:prstGeom>
                  <a:noFill/>
                  <a:ln>
                    <a:noFill/>
                  </a:ln>
                </pic:spPr>
              </pic:pic>
            </a:graphicData>
          </a:graphic>
        </wp:inline>
      </w:drawing>
    </w:r>
    <w:r w:rsidRPr="00635E59">
      <w:rPr>
        <w:rFonts w:ascii="Times New Roman" w:eastAsia="Times New Roman" w:hAnsi="Times New Roman" w:cs="Times New Roman"/>
        <w:i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1F53" w14:textId="00B27105" w:rsidR="00690C27" w:rsidRDefault="00407873" w:rsidP="00407873">
    <w:pPr>
      <w:pStyle w:val="Footer"/>
      <w:jc w:val="center"/>
    </w:pPr>
    <w:r w:rsidRPr="00635E59">
      <w:rPr>
        <w:rFonts w:ascii="Times New Roman" w:eastAsia="Times New Roman" w:hAnsi="Times New Roman" w:cs="Times New Roman"/>
        <w:iCs/>
        <w:sz w:val="24"/>
        <w:szCs w:val="24"/>
      </w:rPr>
      <w:fldChar w:fldCharType="begin"/>
    </w:r>
    <w:r w:rsidRPr="00635E59">
      <w:rPr>
        <w:rFonts w:ascii="Times New Roman" w:eastAsia="Times New Roman" w:hAnsi="Times New Roman" w:cs="Times New Roman"/>
        <w:sz w:val="24"/>
        <w:szCs w:val="24"/>
      </w:rPr>
      <w:instrText xml:space="preserve"> INCLUDEPICTURE "/var/folders/mj/lqs59tj56d557gw4twlmdh_h0000gp/T/com.microsoft.Word/WebArchiveCopyPasteTempFiles/page11image3025925040" \* MERGEFORMATINET </w:instrText>
    </w:r>
    <w:r w:rsidRPr="00635E59">
      <w:rPr>
        <w:rFonts w:ascii="Times New Roman" w:eastAsia="Times New Roman" w:hAnsi="Times New Roman" w:cs="Times New Roman"/>
        <w:iCs/>
        <w:sz w:val="24"/>
        <w:szCs w:val="24"/>
      </w:rPr>
      <w:fldChar w:fldCharType="separate"/>
    </w:r>
    <w:r w:rsidRPr="00635E59">
      <w:rPr>
        <w:rFonts w:ascii="Times New Roman" w:eastAsia="Times New Roman" w:hAnsi="Times New Roman" w:cs="Times New Roman"/>
        <w:iCs/>
        <w:noProof/>
        <w:sz w:val="24"/>
        <w:szCs w:val="24"/>
      </w:rPr>
      <w:drawing>
        <wp:inline distT="0" distB="0" distL="0" distR="0" wp14:anchorId="58A677E6" wp14:editId="05529D68">
          <wp:extent cx="1232958" cy="514494"/>
          <wp:effectExtent l="0" t="0" r="0" b="0"/>
          <wp:docPr id="8" name="Picture 8" descr="page11image302592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1image30259250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409" cy="555159"/>
                  </a:xfrm>
                  <a:prstGeom prst="rect">
                    <a:avLst/>
                  </a:prstGeom>
                  <a:noFill/>
                  <a:ln>
                    <a:noFill/>
                  </a:ln>
                </pic:spPr>
              </pic:pic>
            </a:graphicData>
          </a:graphic>
        </wp:inline>
      </w:drawing>
    </w:r>
    <w:r w:rsidRPr="00635E59">
      <w:rPr>
        <w:rFonts w:ascii="Times New Roman" w:eastAsia="Times New Roman" w:hAnsi="Times New Roman" w:cs="Times New Roman"/>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01103" w14:textId="77777777" w:rsidR="00444AC3" w:rsidRDefault="00444AC3" w:rsidP="00E25FD8">
      <w:pPr>
        <w:spacing w:after="0" w:line="240" w:lineRule="auto"/>
      </w:pPr>
      <w:r>
        <w:separator/>
      </w:r>
    </w:p>
  </w:footnote>
  <w:footnote w:type="continuationSeparator" w:id="0">
    <w:p w14:paraId="1FB9FD49" w14:textId="77777777" w:rsidR="00444AC3" w:rsidRDefault="00444AC3" w:rsidP="00E25FD8">
      <w:pPr>
        <w:spacing w:after="0" w:line="240" w:lineRule="auto"/>
      </w:pPr>
      <w:r>
        <w:continuationSeparator/>
      </w:r>
    </w:p>
  </w:footnote>
  <w:footnote w:id="1">
    <w:p w14:paraId="6FF02B3D" w14:textId="77777777" w:rsidR="00DE514C" w:rsidRDefault="00961CE5">
      <w:pPr>
        <w:pStyle w:val="FootnoteText"/>
      </w:pPr>
      <w:r>
        <w:rPr>
          <w:rStyle w:val="FootnoteReference"/>
        </w:rPr>
        <w:footnoteRef/>
      </w:r>
      <w:r>
        <w:t xml:space="preserve"> Process for assigning participant households to a target population initially and adjusting that assignment as new</w:t>
      </w:r>
    </w:p>
    <w:p w14:paraId="37F3A53C" w14:textId="24D73A9C" w:rsidR="00961CE5" w:rsidRDefault="00961CE5">
      <w:pPr>
        <w:pStyle w:val="FootnoteText"/>
      </w:pPr>
      <w:r>
        <w:t xml:space="preserve"> information emerges has yet to be determined.</w:t>
      </w:r>
    </w:p>
  </w:footnote>
  <w:footnote w:id="2">
    <w:p w14:paraId="30C55982" w14:textId="475D5217" w:rsidR="00006A3A" w:rsidRDefault="00006A3A">
      <w:pPr>
        <w:pStyle w:val="FootnoteText"/>
      </w:pPr>
      <w:r>
        <w:rPr>
          <w:rStyle w:val="FootnoteReference"/>
        </w:rPr>
        <w:footnoteRef/>
      </w:r>
      <w:r>
        <w:t xml:space="preserve"> This document is intended to provide an overview only.  Other requirements will be detailed in final written standards.</w:t>
      </w:r>
    </w:p>
  </w:footnote>
  <w:footnote w:id="3">
    <w:p w14:paraId="7179F341" w14:textId="359B54DC" w:rsidR="00A13189" w:rsidRDefault="00A13189">
      <w:pPr>
        <w:pStyle w:val="FootnoteText"/>
      </w:pPr>
      <w:r>
        <w:rPr>
          <w:rStyle w:val="FootnoteReference"/>
        </w:rPr>
        <w:footnoteRef/>
      </w:r>
      <w:r>
        <w:t xml:space="preserve"> </w:t>
      </w:r>
      <w:r w:rsidR="002F7743" w:rsidRPr="002F7743">
        <w:rPr>
          <w:rFonts w:cs="Times New Roman"/>
          <w:iCs w:val="0"/>
        </w:rPr>
        <w:t>Until such time as further guidance becomes available, determinations regarding whether continued assistance is necessary to prevent the household from returning to literal homelessness or an unsafe living situation will be made by DOH.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760B" w14:textId="5A74F6D9" w:rsidR="008C2B86" w:rsidRDefault="00444AC3">
    <w:pPr>
      <w:pStyle w:val="Header"/>
    </w:pPr>
    <w:r>
      <w:rPr>
        <w:noProof/>
      </w:rPr>
      <w:pict w14:anchorId="542EB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1053" o:spid="_x0000_s2051"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63569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35BE" w14:textId="4CB4B86D" w:rsidR="008C2B86" w:rsidRPr="008C2B86" w:rsidRDefault="00444AC3" w:rsidP="00F51EF8">
    <w:pPr>
      <w:jc w:val="right"/>
      <w:rPr>
        <w:rFonts w:ascii="Calibri" w:hAnsi="Calibri"/>
        <w:i/>
        <w:color w:val="A6A6A6" w:themeColor="background1" w:themeShade="A6"/>
        <w:sz w:val="20"/>
        <w:szCs w:val="20"/>
      </w:rPr>
    </w:pPr>
    <w:r>
      <w:rPr>
        <w:noProof/>
      </w:rPr>
      <w:pict w14:anchorId="1F5D2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1054" o:spid="_x0000_s2050" type="#_x0000_t136" alt="" style="position:absolute;left:0;text-align:left;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63569f"/>
          <v:textpath style="font-family:&quot;Calibri&quot;;font-size:1pt" string="DRAFT"/>
          <w10:wrap anchorx="margin" anchory="margin"/>
        </v:shape>
      </w:pict>
    </w:r>
    <w:r w:rsidR="008C2B86" w:rsidRPr="008C2B86">
      <w:rPr>
        <w:rFonts w:ascii="Calibri" w:hAnsi="Calibri"/>
        <w:i/>
        <w:color w:val="A6A6A6" w:themeColor="background1" w:themeShade="A6"/>
        <w:sz w:val="20"/>
        <w:szCs w:val="20"/>
      </w:rPr>
      <w:t>Overview of Proposed</w:t>
    </w:r>
    <w:r w:rsidR="002F7743">
      <w:rPr>
        <w:rFonts w:ascii="Calibri" w:hAnsi="Calibri"/>
        <w:i/>
        <w:color w:val="A6A6A6" w:themeColor="background1" w:themeShade="A6"/>
        <w:sz w:val="20"/>
        <w:szCs w:val="20"/>
      </w:rPr>
      <w:t xml:space="preserve"> YHDP</w:t>
    </w:r>
    <w:r w:rsidR="008C2B86" w:rsidRPr="008C2B86">
      <w:rPr>
        <w:rFonts w:ascii="Calibri" w:hAnsi="Calibri"/>
        <w:i/>
        <w:color w:val="A6A6A6" w:themeColor="background1" w:themeShade="A6"/>
        <w:sz w:val="20"/>
        <w:szCs w:val="20"/>
      </w:rPr>
      <w:t xml:space="preserve"> Rapid Rehousing Written Standards  - </w:t>
    </w:r>
    <w:r w:rsidR="00F51EF8">
      <w:rPr>
        <w:rFonts w:ascii="Calibri" w:hAnsi="Calibri"/>
        <w:i/>
        <w:color w:val="A6A6A6" w:themeColor="background1" w:themeShade="A6"/>
        <w:sz w:val="20"/>
        <w:szCs w:val="20"/>
      </w:rPr>
      <w:t>1</w:t>
    </w:r>
    <w:r w:rsidR="00305079">
      <w:rPr>
        <w:rFonts w:ascii="Calibri" w:hAnsi="Calibri"/>
        <w:i/>
        <w:color w:val="A6A6A6" w:themeColor="background1" w:themeShade="A6"/>
        <w:sz w:val="20"/>
        <w:szCs w:val="20"/>
      </w:rPr>
      <w:t>1</w:t>
    </w:r>
    <w:r w:rsidR="008C2B86">
      <w:rPr>
        <w:rFonts w:ascii="Calibri" w:hAnsi="Calibri"/>
        <w:i/>
        <w:color w:val="A6A6A6" w:themeColor="background1" w:themeShade="A6"/>
        <w:sz w:val="20"/>
        <w:szCs w:val="20"/>
      </w:rPr>
      <w:t>/</w:t>
    </w:r>
    <w:r w:rsidR="00F51EF8">
      <w:rPr>
        <w:rFonts w:ascii="Calibri" w:hAnsi="Calibri"/>
        <w:i/>
        <w:color w:val="A6A6A6" w:themeColor="background1" w:themeShade="A6"/>
        <w:sz w:val="20"/>
        <w:szCs w:val="20"/>
      </w:rPr>
      <w:t>7</w:t>
    </w:r>
    <w:r w:rsidR="008C2B86">
      <w:rPr>
        <w:rFonts w:ascii="Calibri" w:hAnsi="Calibri"/>
        <w:i/>
        <w:color w:val="A6A6A6" w:themeColor="background1" w:themeShade="A6"/>
        <w:sz w:val="20"/>
        <w:szCs w:val="20"/>
      </w:rPr>
      <w:t>/18</w:t>
    </w:r>
  </w:p>
  <w:p w14:paraId="10D94FA3" w14:textId="77777777" w:rsidR="008C2B86" w:rsidRDefault="008C2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528D" w14:textId="1F90BA44" w:rsidR="00223C86" w:rsidRDefault="00444AC3">
    <w:pPr>
      <w:pStyle w:val="Header"/>
    </w:pPr>
    <w:r>
      <w:rPr>
        <w:noProof/>
      </w:rPr>
      <w:pict w14:anchorId="0E468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1052" o:spid="_x0000_s204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63569f"/>
          <v:textpath style="font-family:&quot;Calibri&quot;;font-size:1pt" string="DRAFT"/>
          <w10:wrap anchorx="margin" anchory="margin"/>
        </v:shape>
      </w:pict>
    </w:r>
    <w:r w:rsidR="00223C86">
      <w:rPr>
        <w:noProof/>
      </w:rPr>
      <w:drawing>
        <wp:anchor distT="0" distB="0" distL="114300" distR="114300" simplePos="0" relativeHeight="251661312" behindDoc="0" locked="0" layoutInCell="1" allowOverlap="1" wp14:anchorId="09E9565A" wp14:editId="1A4C0276">
          <wp:simplePos x="0" y="0"/>
          <wp:positionH relativeFrom="page">
            <wp:posOffset>963023</wp:posOffset>
          </wp:positionH>
          <wp:positionV relativeFrom="page">
            <wp:posOffset>244475</wp:posOffset>
          </wp:positionV>
          <wp:extent cx="5980793" cy="596972"/>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0793" cy="5969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C22"/>
    <w:multiLevelType w:val="hybridMultilevel"/>
    <w:tmpl w:val="75884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464F"/>
    <w:multiLevelType w:val="hybridMultilevel"/>
    <w:tmpl w:val="AAB46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104D"/>
    <w:multiLevelType w:val="hybridMultilevel"/>
    <w:tmpl w:val="F668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37435"/>
    <w:multiLevelType w:val="hybridMultilevel"/>
    <w:tmpl w:val="E41A5E0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4791989"/>
    <w:multiLevelType w:val="hybridMultilevel"/>
    <w:tmpl w:val="C520FF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348B5"/>
    <w:multiLevelType w:val="hybridMultilevel"/>
    <w:tmpl w:val="107C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1A1F"/>
    <w:multiLevelType w:val="hybridMultilevel"/>
    <w:tmpl w:val="BBB8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11C0E"/>
    <w:multiLevelType w:val="hybridMultilevel"/>
    <w:tmpl w:val="E974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40FDF"/>
    <w:multiLevelType w:val="hybridMultilevel"/>
    <w:tmpl w:val="FE245FF8"/>
    <w:lvl w:ilvl="0" w:tplc="04090001">
      <w:start w:val="1"/>
      <w:numFmt w:val="bullet"/>
      <w:pStyle w:val="ListBullet1indent4"/>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7C5749"/>
    <w:multiLevelType w:val="hybridMultilevel"/>
    <w:tmpl w:val="0B949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B95DE6"/>
    <w:multiLevelType w:val="hybridMultilevel"/>
    <w:tmpl w:val="FF20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47F34"/>
    <w:multiLevelType w:val="hybridMultilevel"/>
    <w:tmpl w:val="76702900"/>
    <w:lvl w:ilvl="0" w:tplc="A5123930">
      <w:start w:val="1"/>
      <w:numFmt w:val="decimal"/>
      <w:lvlText w:val="%1."/>
      <w:lvlJc w:val="left"/>
      <w:pPr>
        <w:ind w:left="720" w:hanging="360"/>
      </w:pPr>
      <w:rPr>
        <w:rFonts w:asciiTheme="minorHAnsi" w:eastAsiaTheme="minorHAnsi" w:hAnsiTheme="minorHAnsi" w:cstheme="minorBidi" w:hint="default"/>
        <w:b/>
        <w:sz w:val="22"/>
      </w:rPr>
    </w:lvl>
    <w:lvl w:ilvl="1" w:tplc="04090019">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F7503AC2">
      <w:start w:val="3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A40C47"/>
    <w:multiLevelType w:val="hybridMultilevel"/>
    <w:tmpl w:val="6206DB44"/>
    <w:lvl w:ilvl="0" w:tplc="04090001">
      <w:start w:val="1"/>
      <w:numFmt w:val="bullet"/>
      <w:lvlText w:val=""/>
      <w:lvlJc w:val="left"/>
      <w:pPr>
        <w:ind w:left="720" w:hanging="360"/>
      </w:pPr>
      <w:rPr>
        <w:rFonts w:ascii="Symbol" w:hAnsi="Symbol" w:hint="default"/>
      </w:rPr>
    </w:lvl>
    <w:lvl w:ilvl="1" w:tplc="7902A1FC">
      <w:numFmt w:val="bullet"/>
      <w:lvlText w:val="•"/>
      <w:lvlJc w:val="left"/>
      <w:pPr>
        <w:ind w:left="1440" w:hanging="360"/>
      </w:pPr>
      <w:rPr>
        <w:rFonts w:ascii="Times New Roman" w:eastAsiaTheme="minorEastAsia" w:hAnsi="Times New Roman" w:cs="Times New Roman" w:hint="default"/>
        <w:color w:val="9ACC3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424D1"/>
    <w:multiLevelType w:val="hybridMultilevel"/>
    <w:tmpl w:val="5DBE96C6"/>
    <w:lvl w:ilvl="0" w:tplc="04090001">
      <w:start w:val="1"/>
      <w:numFmt w:val="bullet"/>
      <w:pStyle w:val="ListBullet2Indent2"/>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4"/>
  </w:num>
  <w:num w:numId="4">
    <w:abstractNumId w:val="9"/>
  </w:num>
  <w:num w:numId="5">
    <w:abstractNumId w:val="12"/>
  </w:num>
  <w:num w:numId="6">
    <w:abstractNumId w:val="6"/>
  </w:num>
  <w:num w:numId="7">
    <w:abstractNumId w:val="1"/>
  </w:num>
  <w:num w:numId="8">
    <w:abstractNumId w:val="0"/>
  </w:num>
  <w:num w:numId="9">
    <w:abstractNumId w:val="4"/>
  </w:num>
  <w:num w:numId="10">
    <w:abstractNumId w:val="2"/>
  </w:num>
  <w:num w:numId="11">
    <w:abstractNumId w:val="10"/>
  </w:num>
  <w:num w:numId="12">
    <w:abstractNumId w:val="11"/>
  </w:num>
  <w:num w:numId="13">
    <w:abstractNumId w:val="7"/>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FD8"/>
    <w:rsid w:val="000003C9"/>
    <w:rsid w:val="00006A3A"/>
    <w:rsid w:val="00010A69"/>
    <w:rsid w:val="000235D6"/>
    <w:rsid w:val="000238F4"/>
    <w:rsid w:val="0003407D"/>
    <w:rsid w:val="000351FC"/>
    <w:rsid w:val="00040B7A"/>
    <w:rsid w:val="0004402F"/>
    <w:rsid w:val="000546CC"/>
    <w:rsid w:val="00054C1A"/>
    <w:rsid w:val="0006035C"/>
    <w:rsid w:val="00074B38"/>
    <w:rsid w:val="00081629"/>
    <w:rsid w:val="000A285F"/>
    <w:rsid w:val="000A456A"/>
    <w:rsid w:val="000B6C2C"/>
    <w:rsid w:val="000D3A2E"/>
    <w:rsid w:val="000D457D"/>
    <w:rsid w:val="000D55B2"/>
    <w:rsid w:val="000D6FD4"/>
    <w:rsid w:val="000E0BE8"/>
    <w:rsid w:val="000F293C"/>
    <w:rsid w:val="00112386"/>
    <w:rsid w:val="001154C3"/>
    <w:rsid w:val="00120316"/>
    <w:rsid w:val="00121F8F"/>
    <w:rsid w:val="00132BBF"/>
    <w:rsid w:val="001416C1"/>
    <w:rsid w:val="00141FA7"/>
    <w:rsid w:val="0014357F"/>
    <w:rsid w:val="001569A4"/>
    <w:rsid w:val="00160D76"/>
    <w:rsid w:val="0016311A"/>
    <w:rsid w:val="001667B8"/>
    <w:rsid w:val="00176341"/>
    <w:rsid w:val="00182836"/>
    <w:rsid w:val="001840FA"/>
    <w:rsid w:val="001A253C"/>
    <w:rsid w:val="001A2E23"/>
    <w:rsid w:val="001B081E"/>
    <w:rsid w:val="001B7C7C"/>
    <w:rsid w:val="001C272E"/>
    <w:rsid w:val="001D01A3"/>
    <w:rsid w:val="001D52A1"/>
    <w:rsid w:val="001D7AD3"/>
    <w:rsid w:val="001E7408"/>
    <w:rsid w:val="001F44A6"/>
    <w:rsid w:val="00213018"/>
    <w:rsid w:val="00217D73"/>
    <w:rsid w:val="00223C86"/>
    <w:rsid w:val="0022545A"/>
    <w:rsid w:val="0022646E"/>
    <w:rsid w:val="00230631"/>
    <w:rsid w:val="00230A43"/>
    <w:rsid w:val="00232885"/>
    <w:rsid w:val="00251A08"/>
    <w:rsid w:val="002565C5"/>
    <w:rsid w:val="00261309"/>
    <w:rsid w:val="0026563A"/>
    <w:rsid w:val="00267611"/>
    <w:rsid w:val="00274D47"/>
    <w:rsid w:val="00291142"/>
    <w:rsid w:val="002A69F8"/>
    <w:rsid w:val="002C774A"/>
    <w:rsid w:val="002D1765"/>
    <w:rsid w:val="002E1C76"/>
    <w:rsid w:val="002E57C3"/>
    <w:rsid w:val="002E64B5"/>
    <w:rsid w:val="002F28DF"/>
    <w:rsid w:val="002F7743"/>
    <w:rsid w:val="003020F9"/>
    <w:rsid w:val="00305079"/>
    <w:rsid w:val="00315C5A"/>
    <w:rsid w:val="0032163D"/>
    <w:rsid w:val="003225B3"/>
    <w:rsid w:val="00337F24"/>
    <w:rsid w:val="003423F2"/>
    <w:rsid w:val="003445AE"/>
    <w:rsid w:val="00345F07"/>
    <w:rsid w:val="00357A9B"/>
    <w:rsid w:val="0036163C"/>
    <w:rsid w:val="00366456"/>
    <w:rsid w:val="00371D05"/>
    <w:rsid w:val="00376715"/>
    <w:rsid w:val="00376A6D"/>
    <w:rsid w:val="00382674"/>
    <w:rsid w:val="00387EA5"/>
    <w:rsid w:val="00393CF7"/>
    <w:rsid w:val="00395DAD"/>
    <w:rsid w:val="00396FE8"/>
    <w:rsid w:val="003A090E"/>
    <w:rsid w:val="003A1563"/>
    <w:rsid w:val="003A2414"/>
    <w:rsid w:val="003B5E35"/>
    <w:rsid w:val="003B7BAE"/>
    <w:rsid w:val="003C1D86"/>
    <w:rsid w:val="003C2157"/>
    <w:rsid w:val="003D09C4"/>
    <w:rsid w:val="003D4EBA"/>
    <w:rsid w:val="003F151F"/>
    <w:rsid w:val="003F5ADB"/>
    <w:rsid w:val="00400BF1"/>
    <w:rsid w:val="004024F6"/>
    <w:rsid w:val="00403054"/>
    <w:rsid w:val="00407873"/>
    <w:rsid w:val="00411F67"/>
    <w:rsid w:val="00417F48"/>
    <w:rsid w:val="004223A5"/>
    <w:rsid w:val="00431230"/>
    <w:rsid w:val="004315FD"/>
    <w:rsid w:val="00440AB7"/>
    <w:rsid w:val="00444AC3"/>
    <w:rsid w:val="0044574F"/>
    <w:rsid w:val="004478B6"/>
    <w:rsid w:val="0045139A"/>
    <w:rsid w:val="004527FC"/>
    <w:rsid w:val="00452EB3"/>
    <w:rsid w:val="004610A3"/>
    <w:rsid w:val="00461772"/>
    <w:rsid w:val="0047055F"/>
    <w:rsid w:val="00475BFC"/>
    <w:rsid w:val="004915ED"/>
    <w:rsid w:val="004A03C3"/>
    <w:rsid w:val="004A3FD6"/>
    <w:rsid w:val="004B1FF6"/>
    <w:rsid w:val="004B3F2C"/>
    <w:rsid w:val="004B593C"/>
    <w:rsid w:val="004C258E"/>
    <w:rsid w:val="004C276E"/>
    <w:rsid w:val="004C716B"/>
    <w:rsid w:val="004D04C9"/>
    <w:rsid w:val="004D4337"/>
    <w:rsid w:val="004D75A4"/>
    <w:rsid w:val="004F628F"/>
    <w:rsid w:val="0050236E"/>
    <w:rsid w:val="00502FF8"/>
    <w:rsid w:val="00504826"/>
    <w:rsid w:val="00532360"/>
    <w:rsid w:val="0053338F"/>
    <w:rsid w:val="00542BD1"/>
    <w:rsid w:val="00544FD4"/>
    <w:rsid w:val="00547847"/>
    <w:rsid w:val="0056599A"/>
    <w:rsid w:val="00572A46"/>
    <w:rsid w:val="005839C9"/>
    <w:rsid w:val="00590980"/>
    <w:rsid w:val="00594F51"/>
    <w:rsid w:val="005974FF"/>
    <w:rsid w:val="005A389D"/>
    <w:rsid w:val="005A3EED"/>
    <w:rsid w:val="005B2769"/>
    <w:rsid w:val="005B39ED"/>
    <w:rsid w:val="005C7F7F"/>
    <w:rsid w:val="005D1F7E"/>
    <w:rsid w:val="005F0A5F"/>
    <w:rsid w:val="0060112E"/>
    <w:rsid w:val="00604751"/>
    <w:rsid w:val="00631914"/>
    <w:rsid w:val="00632A6C"/>
    <w:rsid w:val="00672D62"/>
    <w:rsid w:val="00675304"/>
    <w:rsid w:val="006809C4"/>
    <w:rsid w:val="00682EB3"/>
    <w:rsid w:val="00690C27"/>
    <w:rsid w:val="00691A91"/>
    <w:rsid w:val="00693F7E"/>
    <w:rsid w:val="00697670"/>
    <w:rsid w:val="006A2FEA"/>
    <w:rsid w:val="006A5E11"/>
    <w:rsid w:val="006A5F66"/>
    <w:rsid w:val="006A7156"/>
    <w:rsid w:val="006A75DA"/>
    <w:rsid w:val="006D7ACB"/>
    <w:rsid w:val="006E5CD5"/>
    <w:rsid w:val="00712805"/>
    <w:rsid w:val="00722824"/>
    <w:rsid w:val="00724633"/>
    <w:rsid w:val="00724660"/>
    <w:rsid w:val="00725ECA"/>
    <w:rsid w:val="00742391"/>
    <w:rsid w:val="007519E6"/>
    <w:rsid w:val="007534BE"/>
    <w:rsid w:val="007627C9"/>
    <w:rsid w:val="00770F4F"/>
    <w:rsid w:val="007722A8"/>
    <w:rsid w:val="00773F0D"/>
    <w:rsid w:val="007815C6"/>
    <w:rsid w:val="007A5B2E"/>
    <w:rsid w:val="007B52F4"/>
    <w:rsid w:val="007B5928"/>
    <w:rsid w:val="007C3E7E"/>
    <w:rsid w:val="007C472D"/>
    <w:rsid w:val="007E1EA2"/>
    <w:rsid w:val="007F1FE2"/>
    <w:rsid w:val="007F43F3"/>
    <w:rsid w:val="00814885"/>
    <w:rsid w:val="0082023A"/>
    <w:rsid w:val="00820B5A"/>
    <w:rsid w:val="008278F1"/>
    <w:rsid w:val="008323C0"/>
    <w:rsid w:val="00843440"/>
    <w:rsid w:val="00851F54"/>
    <w:rsid w:val="00854BA7"/>
    <w:rsid w:val="008820E1"/>
    <w:rsid w:val="00887742"/>
    <w:rsid w:val="008A27C5"/>
    <w:rsid w:val="008B27CC"/>
    <w:rsid w:val="008B39E9"/>
    <w:rsid w:val="008B7CC1"/>
    <w:rsid w:val="008C218E"/>
    <w:rsid w:val="008C2B86"/>
    <w:rsid w:val="008D6E81"/>
    <w:rsid w:val="008E06B2"/>
    <w:rsid w:val="008E13D2"/>
    <w:rsid w:val="008E5DAA"/>
    <w:rsid w:val="008E7B42"/>
    <w:rsid w:val="008F0A55"/>
    <w:rsid w:val="008F0B3A"/>
    <w:rsid w:val="008F1514"/>
    <w:rsid w:val="008F1799"/>
    <w:rsid w:val="009028E4"/>
    <w:rsid w:val="00907169"/>
    <w:rsid w:val="00927E58"/>
    <w:rsid w:val="00931EEC"/>
    <w:rsid w:val="009339A9"/>
    <w:rsid w:val="00933EB9"/>
    <w:rsid w:val="00945A93"/>
    <w:rsid w:val="00950EC4"/>
    <w:rsid w:val="00961CE5"/>
    <w:rsid w:val="00965068"/>
    <w:rsid w:val="00976F5C"/>
    <w:rsid w:val="00981152"/>
    <w:rsid w:val="00991BD7"/>
    <w:rsid w:val="00996D13"/>
    <w:rsid w:val="009A3739"/>
    <w:rsid w:val="009B3F0D"/>
    <w:rsid w:val="009B5520"/>
    <w:rsid w:val="009C0492"/>
    <w:rsid w:val="009C55DA"/>
    <w:rsid w:val="009F1CEC"/>
    <w:rsid w:val="009F464A"/>
    <w:rsid w:val="00A05BD1"/>
    <w:rsid w:val="00A13189"/>
    <w:rsid w:val="00A15AE2"/>
    <w:rsid w:val="00A21B7A"/>
    <w:rsid w:val="00A35CC2"/>
    <w:rsid w:val="00A44B9F"/>
    <w:rsid w:val="00A44C22"/>
    <w:rsid w:val="00A453BC"/>
    <w:rsid w:val="00A46783"/>
    <w:rsid w:val="00A504FB"/>
    <w:rsid w:val="00A63F41"/>
    <w:rsid w:val="00A6631D"/>
    <w:rsid w:val="00A805EF"/>
    <w:rsid w:val="00A80903"/>
    <w:rsid w:val="00A82CD5"/>
    <w:rsid w:val="00AA1CFC"/>
    <w:rsid w:val="00AA4841"/>
    <w:rsid w:val="00AA5C4E"/>
    <w:rsid w:val="00AA7C5F"/>
    <w:rsid w:val="00AB4BB0"/>
    <w:rsid w:val="00AB747C"/>
    <w:rsid w:val="00AD2853"/>
    <w:rsid w:val="00AE636D"/>
    <w:rsid w:val="00AE6E0E"/>
    <w:rsid w:val="00AF366B"/>
    <w:rsid w:val="00B01736"/>
    <w:rsid w:val="00B33DE3"/>
    <w:rsid w:val="00B34A99"/>
    <w:rsid w:val="00B35230"/>
    <w:rsid w:val="00B54A2A"/>
    <w:rsid w:val="00B655C9"/>
    <w:rsid w:val="00B674BD"/>
    <w:rsid w:val="00B70B6B"/>
    <w:rsid w:val="00B81588"/>
    <w:rsid w:val="00B86C73"/>
    <w:rsid w:val="00B87388"/>
    <w:rsid w:val="00B92C56"/>
    <w:rsid w:val="00BC1491"/>
    <w:rsid w:val="00BC200A"/>
    <w:rsid w:val="00BC590F"/>
    <w:rsid w:val="00BE6939"/>
    <w:rsid w:val="00BE6FE2"/>
    <w:rsid w:val="00BF110E"/>
    <w:rsid w:val="00C058BB"/>
    <w:rsid w:val="00C12B0E"/>
    <w:rsid w:val="00C13C01"/>
    <w:rsid w:val="00C418B4"/>
    <w:rsid w:val="00C44BAA"/>
    <w:rsid w:val="00C57AD1"/>
    <w:rsid w:val="00C67445"/>
    <w:rsid w:val="00C70029"/>
    <w:rsid w:val="00C7098A"/>
    <w:rsid w:val="00C70DC7"/>
    <w:rsid w:val="00C718F8"/>
    <w:rsid w:val="00C74CAB"/>
    <w:rsid w:val="00C763DF"/>
    <w:rsid w:val="00C96C8F"/>
    <w:rsid w:val="00CA1147"/>
    <w:rsid w:val="00CA15F5"/>
    <w:rsid w:val="00CA289A"/>
    <w:rsid w:val="00CB317A"/>
    <w:rsid w:val="00CC0E54"/>
    <w:rsid w:val="00CC14B1"/>
    <w:rsid w:val="00CC2C21"/>
    <w:rsid w:val="00CC4BB5"/>
    <w:rsid w:val="00CC4D61"/>
    <w:rsid w:val="00CC5E5E"/>
    <w:rsid w:val="00CD261A"/>
    <w:rsid w:val="00CD43B4"/>
    <w:rsid w:val="00CD4F45"/>
    <w:rsid w:val="00CE1A10"/>
    <w:rsid w:val="00CF7BF7"/>
    <w:rsid w:val="00D06E8B"/>
    <w:rsid w:val="00D1054A"/>
    <w:rsid w:val="00D14D0A"/>
    <w:rsid w:val="00D32AC9"/>
    <w:rsid w:val="00D359C2"/>
    <w:rsid w:val="00D3760A"/>
    <w:rsid w:val="00D37F8B"/>
    <w:rsid w:val="00D405B1"/>
    <w:rsid w:val="00D40CB9"/>
    <w:rsid w:val="00D47D4E"/>
    <w:rsid w:val="00D55D7D"/>
    <w:rsid w:val="00D56B7F"/>
    <w:rsid w:val="00D56E44"/>
    <w:rsid w:val="00D656EC"/>
    <w:rsid w:val="00D716BF"/>
    <w:rsid w:val="00D750C3"/>
    <w:rsid w:val="00D85B2F"/>
    <w:rsid w:val="00D85E8E"/>
    <w:rsid w:val="00DA2CF1"/>
    <w:rsid w:val="00DA6CAD"/>
    <w:rsid w:val="00DB1876"/>
    <w:rsid w:val="00DB1936"/>
    <w:rsid w:val="00DC104E"/>
    <w:rsid w:val="00DC5436"/>
    <w:rsid w:val="00DC6583"/>
    <w:rsid w:val="00DD61B5"/>
    <w:rsid w:val="00DE1C5B"/>
    <w:rsid w:val="00DE514C"/>
    <w:rsid w:val="00DF17CC"/>
    <w:rsid w:val="00DF754D"/>
    <w:rsid w:val="00E15365"/>
    <w:rsid w:val="00E25FD8"/>
    <w:rsid w:val="00E31E36"/>
    <w:rsid w:val="00E31EA9"/>
    <w:rsid w:val="00E32C74"/>
    <w:rsid w:val="00E40891"/>
    <w:rsid w:val="00E40ABB"/>
    <w:rsid w:val="00E41544"/>
    <w:rsid w:val="00E47AB5"/>
    <w:rsid w:val="00E540FA"/>
    <w:rsid w:val="00E70469"/>
    <w:rsid w:val="00E76E07"/>
    <w:rsid w:val="00E7796A"/>
    <w:rsid w:val="00E867FA"/>
    <w:rsid w:val="00E933C5"/>
    <w:rsid w:val="00E93721"/>
    <w:rsid w:val="00E97D47"/>
    <w:rsid w:val="00EB5D83"/>
    <w:rsid w:val="00EC303D"/>
    <w:rsid w:val="00ED1467"/>
    <w:rsid w:val="00ED3667"/>
    <w:rsid w:val="00EE19C5"/>
    <w:rsid w:val="00EE1DDD"/>
    <w:rsid w:val="00F17448"/>
    <w:rsid w:val="00F22CF4"/>
    <w:rsid w:val="00F27A8D"/>
    <w:rsid w:val="00F36063"/>
    <w:rsid w:val="00F37CDB"/>
    <w:rsid w:val="00F4144D"/>
    <w:rsid w:val="00F5139F"/>
    <w:rsid w:val="00F51EF8"/>
    <w:rsid w:val="00F52A49"/>
    <w:rsid w:val="00F53352"/>
    <w:rsid w:val="00F57A8F"/>
    <w:rsid w:val="00F62344"/>
    <w:rsid w:val="00F63AF7"/>
    <w:rsid w:val="00F907DF"/>
    <w:rsid w:val="00F940A8"/>
    <w:rsid w:val="00FA29AE"/>
    <w:rsid w:val="00FA2E31"/>
    <w:rsid w:val="00FA4C4E"/>
    <w:rsid w:val="00FC318B"/>
    <w:rsid w:val="00FE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E70646"/>
  <w15:docId w15:val="{B8A8A019-C01A-A547-A829-5EF401EA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B7A"/>
    <w:pPr>
      <w:pBdr>
        <w:top w:val="single" w:sz="12" w:space="1" w:color="63A537" w:themeColor="accent2"/>
        <w:left w:val="single" w:sz="12" w:space="4" w:color="63A537" w:themeColor="accent2"/>
        <w:bottom w:val="single" w:sz="12" w:space="1" w:color="63A537" w:themeColor="accent2"/>
        <w:right w:val="single" w:sz="12" w:space="4" w:color="63A537" w:themeColor="accent2"/>
      </w:pBdr>
      <w:shd w:val="clear" w:color="auto" w:fill="99CB38" w:themeFill="accent1"/>
      <w:spacing w:after="200" w:line="240" w:lineRule="auto"/>
      <w:outlineLvl w:val="0"/>
    </w:pPr>
    <w:rPr>
      <w:rFonts w:asciiTheme="majorHAnsi" w:eastAsiaTheme="minorEastAsia" w:hAnsiTheme="majorHAnsi"/>
      <w:iCs/>
      <w:color w:val="FFFFFF"/>
      <w:sz w:val="2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FD8"/>
  </w:style>
  <w:style w:type="paragraph" w:styleId="Footer">
    <w:name w:val="footer"/>
    <w:basedOn w:val="Normal"/>
    <w:link w:val="FooterChar"/>
    <w:uiPriority w:val="99"/>
    <w:unhideWhenUsed/>
    <w:rsid w:val="00E2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FD8"/>
  </w:style>
  <w:style w:type="paragraph" w:customStyle="1" w:styleId="ListBullet1indent4">
    <w:name w:val="List Bullet 1 indent 4"/>
    <w:basedOn w:val="Normal"/>
    <w:uiPriority w:val="99"/>
    <w:rsid w:val="00773F0D"/>
    <w:pPr>
      <w:numPr>
        <w:numId w:val="1"/>
      </w:numPr>
      <w:spacing w:before="120" w:after="0" w:line="240" w:lineRule="auto"/>
    </w:pPr>
    <w:rPr>
      <w:rFonts w:ascii="Arial" w:eastAsia="Times New Roman" w:hAnsi="Arial" w:cs="Arial"/>
    </w:rPr>
  </w:style>
  <w:style w:type="paragraph" w:customStyle="1" w:styleId="ListBullet2Indent2">
    <w:name w:val="List Bullet 2 Indent 2"/>
    <w:basedOn w:val="ListBullet2"/>
    <w:uiPriority w:val="99"/>
    <w:rsid w:val="00773F0D"/>
    <w:pPr>
      <w:numPr>
        <w:numId w:val="2"/>
      </w:numPr>
      <w:tabs>
        <w:tab w:val="num" w:pos="360"/>
      </w:tabs>
      <w:spacing w:before="120" w:after="0" w:line="240" w:lineRule="auto"/>
      <w:ind w:left="1800"/>
      <w:contextualSpacing w:val="0"/>
    </w:pPr>
    <w:rPr>
      <w:rFonts w:ascii="Arial" w:eastAsia="Times New Roman" w:hAnsi="Arial" w:cs="Arial"/>
    </w:rPr>
  </w:style>
  <w:style w:type="paragraph" w:styleId="ListBullet2">
    <w:name w:val="List Bullet 2"/>
    <w:basedOn w:val="Normal"/>
    <w:uiPriority w:val="99"/>
    <w:semiHidden/>
    <w:unhideWhenUsed/>
    <w:rsid w:val="00773F0D"/>
    <w:pPr>
      <w:ind w:left="1440" w:hanging="360"/>
      <w:contextualSpacing/>
    </w:pPr>
  </w:style>
  <w:style w:type="table" w:styleId="TableGrid">
    <w:name w:val="Table Grid"/>
    <w:basedOn w:val="TableNormal"/>
    <w:uiPriority w:val="39"/>
    <w:rsid w:val="0004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040B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040B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040B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040B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040B7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6">
    <w:name w:val="Grid Table 1 Light Accent 6"/>
    <w:basedOn w:val="TableNormal"/>
    <w:uiPriority w:val="46"/>
    <w:rsid w:val="00040B7A"/>
    <w:pPr>
      <w:spacing w:after="0" w:line="240" w:lineRule="auto"/>
    </w:pPr>
    <w:tblPr>
      <w:tblStyleRowBandSize w:val="1"/>
      <w:tblStyleColBandSize w:val="1"/>
      <w:tblBorders>
        <w:top w:val="single" w:sz="4" w:space="0" w:color="B9E7FC" w:themeColor="accent6" w:themeTint="66"/>
        <w:left w:val="single" w:sz="4" w:space="0" w:color="B9E7FC" w:themeColor="accent6" w:themeTint="66"/>
        <w:bottom w:val="single" w:sz="4" w:space="0" w:color="B9E7FC" w:themeColor="accent6" w:themeTint="66"/>
        <w:right w:val="single" w:sz="4" w:space="0" w:color="B9E7FC" w:themeColor="accent6" w:themeTint="66"/>
        <w:insideH w:val="single" w:sz="4" w:space="0" w:color="B9E7FC" w:themeColor="accent6" w:themeTint="66"/>
        <w:insideV w:val="single" w:sz="4" w:space="0" w:color="B9E7FC" w:themeColor="accent6" w:themeTint="66"/>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2" w:space="0" w:color="96DBFB"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40B7A"/>
    <w:pPr>
      <w:spacing w:after="0" w:line="240" w:lineRule="auto"/>
    </w:pPr>
    <w:tblPr>
      <w:tblStyleRowBandSize w:val="1"/>
      <w:tblStyleColBandSize w:val="1"/>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1Light-Accent1">
    <w:name w:val="Grid Table 1 Light Accent 1"/>
    <w:basedOn w:val="TableNormal"/>
    <w:uiPriority w:val="46"/>
    <w:rsid w:val="00040B7A"/>
    <w:pPr>
      <w:spacing w:after="0" w:line="240" w:lineRule="auto"/>
    </w:pPr>
    <w:tblPr>
      <w:tblStyleRowBandSize w:val="1"/>
      <w:tblStyleColBandSize w:val="1"/>
      <w:tblBorders>
        <w:top w:val="single" w:sz="4" w:space="0" w:color="D6EAAF" w:themeColor="accent1" w:themeTint="66"/>
        <w:left w:val="single" w:sz="4" w:space="0" w:color="D6EAAF" w:themeColor="accent1" w:themeTint="66"/>
        <w:bottom w:val="single" w:sz="4" w:space="0" w:color="D6EAAF" w:themeColor="accent1" w:themeTint="66"/>
        <w:right w:val="single" w:sz="4" w:space="0" w:color="D6EAAF" w:themeColor="accent1" w:themeTint="66"/>
        <w:insideH w:val="single" w:sz="4" w:space="0" w:color="D6EAAF" w:themeColor="accent1" w:themeTint="66"/>
        <w:insideV w:val="single" w:sz="4" w:space="0" w:color="D6EAAF" w:themeColor="accent1" w:themeTint="66"/>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2" w:space="0" w:color="C1DF8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0B7A"/>
    <w:pPr>
      <w:spacing w:after="0" w:line="240" w:lineRule="auto"/>
    </w:pPr>
    <w:tblPr>
      <w:tblStyleRowBandSize w:val="1"/>
      <w:tblStyleColBandSize w:val="1"/>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2" w:space="0" w:color="9FD3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0B7A"/>
    <w:pPr>
      <w:spacing w:after="0" w:line="240" w:lineRule="auto"/>
    </w:pPr>
    <w:tblPr>
      <w:tblStyleRowBandSize w:val="1"/>
      <w:tblStyleColBandSize w:val="1"/>
      <w:tblBorders>
        <w:top w:val="single" w:sz="4" w:space="0" w:color="A8E2C5" w:themeColor="accent3" w:themeTint="66"/>
        <w:left w:val="single" w:sz="4" w:space="0" w:color="A8E2C5" w:themeColor="accent3" w:themeTint="66"/>
        <w:bottom w:val="single" w:sz="4" w:space="0" w:color="A8E2C5" w:themeColor="accent3" w:themeTint="66"/>
        <w:right w:val="single" w:sz="4" w:space="0" w:color="A8E2C5" w:themeColor="accent3" w:themeTint="66"/>
        <w:insideH w:val="single" w:sz="4" w:space="0" w:color="A8E2C5" w:themeColor="accent3" w:themeTint="66"/>
        <w:insideV w:val="single" w:sz="4" w:space="0" w:color="A8E2C5" w:themeColor="accent3" w:themeTint="66"/>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2" w:space="0" w:color="7CD4A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0B7A"/>
    <w:pPr>
      <w:spacing w:after="0" w:line="240" w:lineRule="auto"/>
    </w:pPr>
    <w:tblPr>
      <w:tblStyleRowBandSize w:val="1"/>
      <w:tblStyleColBandSize w:val="1"/>
      <w:tblBorders>
        <w:top w:val="single" w:sz="4" w:space="0" w:color="B4E6DA" w:themeColor="accent4" w:themeTint="66"/>
        <w:left w:val="single" w:sz="4" w:space="0" w:color="B4E6DA" w:themeColor="accent4" w:themeTint="66"/>
        <w:bottom w:val="single" w:sz="4" w:space="0" w:color="B4E6DA" w:themeColor="accent4" w:themeTint="66"/>
        <w:right w:val="single" w:sz="4" w:space="0" w:color="B4E6DA" w:themeColor="accent4" w:themeTint="66"/>
        <w:insideH w:val="single" w:sz="4" w:space="0" w:color="B4E6DA" w:themeColor="accent4" w:themeTint="66"/>
        <w:insideV w:val="single" w:sz="4" w:space="0" w:color="B4E6DA" w:themeColor="accent4" w:themeTint="66"/>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2" w:space="0" w:color="8ED9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0B7A"/>
    <w:pPr>
      <w:spacing w:after="0" w:line="240" w:lineRule="auto"/>
    </w:pPr>
    <w:tblPr>
      <w:tblStyleRowBandSize w:val="1"/>
      <w:tblStyleColBandSize w:val="1"/>
      <w:tblBorders>
        <w:top w:val="single" w:sz="4" w:space="0" w:color="B8E0EB" w:themeColor="accent5" w:themeTint="66"/>
        <w:left w:val="single" w:sz="4" w:space="0" w:color="B8E0EB" w:themeColor="accent5" w:themeTint="66"/>
        <w:bottom w:val="single" w:sz="4" w:space="0" w:color="B8E0EB" w:themeColor="accent5" w:themeTint="66"/>
        <w:right w:val="single" w:sz="4" w:space="0" w:color="B8E0EB" w:themeColor="accent5" w:themeTint="66"/>
        <w:insideH w:val="single" w:sz="4" w:space="0" w:color="B8E0EB" w:themeColor="accent5" w:themeTint="66"/>
        <w:insideV w:val="single" w:sz="4" w:space="0" w:color="B8E0EB" w:themeColor="accent5" w:themeTint="66"/>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2" w:space="0" w:color="94D1E2"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040B7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insideV w:val="nil"/>
        </w:tcBorders>
        <w:shd w:val="clear" w:color="auto" w:fill="4EB3CF" w:themeFill="accent5"/>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5Dark-Accent2">
    <w:name w:val="Grid Table 5 Dark Accent 2"/>
    <w:basedOn w:val="TableNormal"/>
    <w:uiPriority w:val="50"/>
    <w:rsid w:val="00040B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styleId="GridTable7Colorful-Accent5">
    <w:name w:val="Grid Table 7 Colorful Accent 5"/>
    <w:basedOn w:val="TableNormal"/>
    <w:uiPriority w:val="52"/>
    <w:rsid w:val="00040B7A"/>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GridTable4-Accent3">
    <w:name w:val="Grid Table 4 Accent 3"/>
    <w:basedOn w:val="TableNormal"/>
    <w:uiPriority w:val="49"/>
    <w:rsid w:val="00040B7A"/>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4-Accent2">
    <w:name w:val="Grid Table 4 Accent 2"/>
    <w:basedOn w:val="TableNormal"/>
    <w:uiPriority w:val="49"/>
    <w:rsid w:val="00040B7A"/>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4-Accent1">
    <w:name w:val="Grid Table 4 Accent 1"/>
    <w:basedOn w:val="TableNormal"/>
    <w:uiPriority w:val="49"/>
    <w:rsid w:val="00040B7A"/>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3-Accent5">
    <w:name w:val="Grid Table 3 Accent 5"/>
    <w:basedOn w:val="TableNormal"/>
    <w:uiPriority w:val="48"/>
    <w:rsid w:val="00040B7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ListTable7Colorful-Accent3">
    <w:name w:val="List Table 7 Colorful Accent 3"/>
    <w:basedOn w:val="TableNormal"/>
    <w:uiPriority w:val="52"/>
    <w:rsid w:val="00040B7A"/>
    <w:pPr>
      <w:spacing w:after="0" w:line="240" w:lineRule="auto"/>
    </w:pPr>
    <w:rPr>
      <w:color w:val="297C5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A76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A76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A76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A76F" w:themeColor="accent3"/>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0B7A"/>
    <w:pPr>
      <w:spacing w:after="0" w:line="240" w:lineRule="auto"/>
    </w:pPr>
    <w:rPr>
      <w:color w:val="72992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CB3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CB3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CB3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CB38" w:themeColor="accent1"/>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2">
    <w:name w:val="List Table 5 Dark Accent 2"/>
    <w:basedOn w:val="TableNormal"/>
    <w:uiPriority w:val="50"/>
    <w:rsid w:val="00040B7A"/>
    <w:pPr>
      <w:spacing w:after="0" w:line="240" w:lineRule="auto"/>
    </w:pPr>
    <w:rPr>
      <w:color w:val="FFFFFF" w:themeColor="background1"/>
    </w:rPr>
    <w:tblPr>
      <w:tblStyleRowBandSize w:val="1"/>
      <w:tblStyleColBandSize w:val="1"/>
      <w:tblBorders>
        <w:top w:val="single" w:sz="24" w:space="0" w:color="63A537" w:themeColor="accent2"/>
        <w:left w:val="single" w:sz="24" w:space="0" w:color="63A537" w:themeColor="accent2"/>
        <w:bottom w:val="single" w:sz="24" w:space="0" w:color="63A537" w:themeColor="accent2"/>
        <w:right w:val="single" w:sz="24" w:space="0" w:color="63A537" w:themeColor="accent2"/>
      </w:tblBorders>
    </w:tblPr>
    <w:tcPr>
      <w:shd w:val="clear" w:color="auto" w:fill="63A53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0B7A"/>
    <w:pPr>
      <w:spacing w:after="0" w:line="240" w:lineRule="auto"/>
    </w:pPr>
    <w:rPr>
      <w:color w:val="FFFFFF" w:themeColor="background1"/>
    </w:rPr>
    <w:tblPr>
      <w:tblStyleRowBandSize w:val="1"/>
      <w:tblStyleColBandSize w:val="1"/>
      <w:tblBorders>
        <w:top w:val="single" w:sz="24" w:space="0" w:color="99CB38" w:themeColor="accent1"/>
        <w:left w:val="single" w:sz="24" w:space="0" w:color="99CB38" w:themeColor="accent1"/>
        <w:bottom w:val="single" w:sz="24" w:space="0" w:color="99CB38" w:themeColor="accent1"/>
        <w:right w:val="single" w:sz="24" w:space="0" w:color="99CB38" w:themeColor="accent1"/>
      </w:tblBorders>
    </w:tblPr>
    <w:tcPr>
      <w:shd w:val="clear" w:color="auto" w:fill="99CB3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040B7A"/>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tcBorders>
        <w:shd w:val="clear" w:color="auto" w:fill="51C3F9" w:themeFill="accent6"/>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4-Accent5">
    <w:name w:val="List Table 4 Accent 5"/>
    <w:basedOn w:val="TableNormal"/>
    <w:uiPriority w:val="49"/>
    <w:rsid w:val="00040B7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character" w:customStyle="1" w:styleId="Heading1Char">
    <w:name w:val="Heading 1 Char"/>
    <w:basedOn w:val="DefaultParagraphFont"/>
    <w:link w:val="Heading1"/>
    <w:uiPriority w:val="9"/>
    <w:rsid w:val="00040B7A"/>
    <w:rPr>
      <w:rFonts w:asciiTheme="majorHAnsi" w:eastAsiaTheme="minorEastAsia" w:hAnsiTheme="majorHAnsi"/>
      <w:iCs/>
      <w:color w:val="FFFFFF"/>
      <w:sz w:val="28"/>
      <w:szCs w:val="38"/>
      <w:shd w:val="clear" w:color="auto" w:fill="99CB38" w:themeFill="accent1"/>
    </w:rPr>
  </w:style>
  <w:style w:type="paragraph" w:styleId="ListParagraph">
    <w:name w:val="List Paragraph"/>
    <w:basedOn w:val="Normal"/>
    <w:uiPriority w:val="34"/>
    <w:qFormat/>
    <w:rsid w:val="00040B7A"/>
    <w:pPr>
      <w:numPr>
        <w:numId w:val="3"/>
      </w:numPr>
      <w:spacing w:after="200" w:line="288" w:lineRule="auto"/>
      <w:contextualSpacing/>
    </w:pPr>
    <w:rPr>
      <w:rFonts w:eastAsiaTheme="minorEastAsia"/>
      <w:iCs/>
      <w:szCs w:val="21"/>
    </w:rPr>
  </w:style>
  <w:style w:type="character" w:styleId="Hyperlink">
    <w:name w:val="Hyperlink"/>
    <w:basedOn w:val="DefaultParagraphFont"/>
    <w:uiPriority w:val="99"/>
    <w:unhideWhenUsed/>
    <w:rsid w:val="00040B7A"/>
    <w:rPr>
      <w:color w:val="EE7B08" w:themeColor="hyperlink"/>
      <w:u w:val="single"/>
    </w:rPr>
  </w:style>
  <w:style w:type="character" w:styleId="FollowedHyperlink">
    <w:name w:val="FollowedHyperlink"/>
    <w:basedOn w:val="DefaultParagraphFont"/>
    <w:uiPriority w:val="99"/>
    <w:semiHidden/>
    <w:unhideWhenUsed/>
    <w:rsid w:val="00054C1A"/>
    <w:rPr>
      <w:color w:val="977B2D" w:themeColor="followedHyperlink"/>
      <w:u w:val="single"/>
    </w:rPr>
  </w:style>
  <w:style w:type="paragraph" w:styleId="BalloonText">
    <w:name w:val="Balloon Text"/>
    <w:basedOn w:val="Normal"/>
    <w:link w:val="BalloonTextChar"/>
    <w:uiPriority w:val="99"/>
    <w:semiHidden/>
    <w:unhideWhenUsed/>
    <w:rsid w:val="00054C1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4C1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8C2B86"/>
    <w:pPr>
      <w:spacing w:after="0" w:line="240" w:lineRule="auto"/>
    </w:pPr>
    <w:rPr>
      <w:rFonts w:eastAsiaTheme="minorEastAsia"/>
      <w:iCs/>
      <w:sz w:val="20"/>
      <w:szCs w:val="20"/>
    </w:rPr>
  </w:style>
  <w:style w:type="character" w:customStyle="1" w:styleId="FootnoteTextChar">
    <w:name w:val="Footnote Text Char"/>
    <w:basedOn w:val="DefaultParagraphFont"/>
    <w:link w:val="FootnoteText"/>
    <w:uiPriority w:val="99"/>
    <w:semiHidden/>
    <w:rsid w:val="008C2B86"/>
    <w:rPr>
      <w:rFonts w:eastAsiaTheme="minorEastAsia"/>
      <w:iCs/>
      <w:sz w:val="20"/>
      <w:szCs w:val="20"/>
    </w:rPr>
  </w:style>
  <w:style w:type="character" w:styleId="FootnoteReference">
    <w:name w:val="footnote reference"/>
    <w:basedOn w:val="DefaultParagraphFont"/>
    <w:uiPriority w:val="99"/>
    <w:semiHidden/>
    <w:unhideWhenUsed/>
    <w:rsid w:val="008C2B86"/>
    <w:rPr>
      <w:vertAlign w:val="superscript"/>
    </w:rPr>
  </w:style>
  <w:style w:type="character" w:styleId="PageNumber">
    <w:name w:val="page number"/>
    <w:basedOn w:val="DefaultParagraphFont"/>
    <w:uiPriority w:val="99"/>
    <w:semiHidden/>
    <w:unhideWhenUsed/>
    <w:rsid w:val="008C2B86"/>
  </w:style>
  <w:style w:type="paragraph" w:styleId="NormalWeb">
    <w:name w:val="Normal (Web)"/>
    <w:basedOn w:val="Normal"/>
    <w:uiPriority w:val="99"/>
    <w:semiHidden/>
    <w:unhideWhenUsed/>
    <w:rsid w:val="00DD61B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029803">
      <w:bodyDiv w:val="1"/>
      <w:marLeft w:val="0"/>
      <w:marRight w:val="0"/>
      <w:marTop w:val="0"/>
      <w:marBottom w:val="0"/>
      <w:divBdr>
        <w:top w:val="none" w:sz="0" w:space="0" w:color="auto"/>
        <w:left w:val="none" w:sz="0" w:space="0" w:color="auto"/>
        <w:bottom w:val="none" w:sz="0" w:space="0" w:color="auto"/>
        <w:right w:val="none" w:sz="0" w:space="0" w:color="auto"/>
      </w:divBdr>
    </w:div>
    <w:div w:id="12101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s/documents/CoC-Rent-Reasonableness-and-FMR.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udexchange.info/resources/documents/RentReasonableChecklist.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ud.gov/offices/lead/training/visualassessment/h00101.htm" TargetMode="External"/><Relationship Id="rId4" Type="http://schemas.openxmlformats.org/officeDocument/2006/relationships/webSettings" Target="webSettings.xml"/><Relationship Id="rId9" Type="http://schemas.openxmlformats.org/officeDocument/2006/relationships/hyperlink" Target="http://portal.hud.gov/hudportal/documents/huddoc?id=52580.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Chase</dc:creator>
  <cp:keywords/>
  <dc:description/>
  <cp:lastModifiedBy>Liz Isaacs</cp:lastModifiedBy>
  <cp:revision>2</cp:revision>
  <dcterms:created xsi:type="dcterms:W3CDTF">2018-11-26T12:54:00Z</dcterms:created>
  <dcterms:modified xsi:type="dcterms:W3CDTF">2018-11-26T12:54:00Z</dcterms:modified>
</cp:coreProperties>
</file>