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sdt>
      <w:sdtPr>
        <w:rPr>
          <w:rFonts w:ascii="Calibri" w:hAnsi="Calibri"/>
          <w:b/>
        </w:rPr>
        <w:alias w:val="Title"/>
        <w:id w:val="-1185975049"/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p w14:paraId="56E1A261" w14:textId="77777777" w:rsidR="00D06C88" w:rsidRPr="00D06C88" w:rsidRDefault="00D06C88" w:rsidP="00D06C88">
          <w:pPr>
            <w:pStyle w:val="Header"/>
            <w:pBdr>
              <w:between w:val="single" w:sz="4" w:space="1" w:color="4F81BD" w:themeColor="accent1"/>
            </w:pBdr>
            <w:spacing w:line="276" w:lineRule="auto"/>
            <w:jc w:val="center"/>
            <w:rPr>
              <w:rFonts w:ascii="Calibri" w:hAnsi="Calibri"/>
              <w:b/>
            </w:rPr>
          </w:pPr>
          <w:r w:rsidRPr="00D06C88">
            <w:rPr>
              <w:rFonts w:ascii="Calibri" w:hAnsi="Calibri"/>
              <w:b/>
            </w:rPr>
            <w:t>P</w:t>
          </w:r>
          <w:r>
            <w:rPr>
              <w:rFonts w:ascii="Calibri" w:hAnsi="Calibri"/>
              <w:b/>
            </w:rPr>
            <w:t xml:space="preserve">articipant Chart </w:t>
          </w:r>
          <w:r w:rsidRPr="00D06C88">
            <w:rPr>
              <w:rFonts w:ascii="Calibri" w:hAnsi="Calibri"/>
              <w:b/>
            </w:rPr>
            <w:t>Monitoring Preparation Guidance</w:t>
          </w:r>
        </w:p>
      </w:sdtContent>
    </w:sdt>
    <w:p w14:paraId="291F3E81" w14:textId="77777777" w:rsidR="00D06C88" w:rsidRPr="00D06C88" w:rsidRDefault="00D06C88" w:rsidP="00D06C88">
      <w:pPr>
        <w:jc w:val="center"/>
        <w:rPr>
          <w:rFonts w:asciiTheme="majorHAnsi" w:hAnsiTheme="majorHAnsi"/>
          <w:i/>
        </w:rPr>
      </w:pPr>
      <w:r w:rsidRPr="00D06C88">
        <w:rPr>
          <w:rFonts w:asciiTheme="majorHAnsi" w:hAnsiTheme="majorHAnsi"/>
          <w:i/>
        </w:rPr>
        <w:t xml:space="preserve">Updated </w:t>
      </w:r>
      <w:r w:rsidR="007A6DA7">
        <w:rPr>
          <w:rFonts w:asciiTheme="majorHAnsi" w:hAnsiTheme="majorHAnsi"/>
          <w:i/>
        </w:rPr>
        <w:t>0</w:t>
      </w:r>
      <w:r w:rsidR="007877D9">
        <w:rPr>
          <w:rFonts w:asciiTheme="majorHAnsi" w:hAnsiTheme="majorHAnsi"/>
          <w:i/>
        </w:rPr>
        <w:t>3/11/19</w:t>
      </w:r>
    </w:p>
    <w:p w14:paraId="2EAD977B" w14:textId="77777777" w:rsidR="00D06C88" w:rsidRDefault="00D06C88">
      <w:pPr>
        <w:rPr>
          <w:rFonts w:asciiTheme="majorHAnsi" w:hAnsiTheme="majorHAnsi"/>
          <w:b/>
        </w:rPr>
      </w:pPr>
    </w:p>
    <w:p w14:paraId="54992180" w14:textId="77777777" w:rsidR="00961FDF" w:rsidRPr="008B3DC0" w:rsidRDefault="006F7826">
      <w:pPr>
        <w:rPr>
          <w:rFonts w:asciiTheme="majorHAnsi" w:hAnsiTheme="majorHAnsi"/>
          <w:b/>
        </w:rPr>
      </w:pPr>
      <w:r w:rsidRPr="008B3DC0">
        <w:rPr>
          <w:rFonts w:asciiTheme="majorHAnsi" w:hAnsiTheme="majorHAnsi"/>
          <w:b/>
        </w:rPr>
        <w:t xml:space="preserve">Charts for participants served in a HUD CoC funded program </w:t>
      </w:r>
      <w:r w:rsidR="00FE22D0" w:rsidRPr="008B3DC0">
        <w:rPr>
          <w:rFonts w:asciiTheme="majorHAnsi" w:hAnsiTheme="majorHAnsi"/>
          <w:b/>
        </w:rPr>
        <w:t xml:space="preserve">must </w:t>
      </w:r>
      <w:r w:rsidRPr="008B3DC0">
        <w:rPr>
          <w:rFonts w:asciiTheme="majorHAnsi" w:hAnsiTheme="majorHAnsi"/>
          <w:b/>
        </w:rPr>
        <w:t>include:</w:t>
      </w:r>
    </w:p>
    <w:p w14:paraId="11A700D9" w14:textId="77777777" w:rsidR="006F7826" w:rsidRPr="008B3DC0" w:rsidRDefault="006F7826">
      <w:pPr>
        <w:rPr>
          <w:rFonts w:asciiTheme="majorHAnsi" w:hAnsiTheme="majorHAnsi"/>
        </w:rPr>
      </w:pPr>
    </w:p>
    <w:p w14:paraId="4ED83409" w14:textId="77777777" w:rsidR="006F7826" w:rsidRPr="008B3DC0" w:rsidRDefault="006F7826" w:rsidP="006F7826">
      <w:pPr>
        <w:pStyle w:val="ListParagraph"/>
        <w:numPr>
          <w:ilvl w:val="0"/>
          <w:numId w:val="1"/>
        </w:numPr>
        <w:rPr>
          <w:rFonts w:asciiTheme="majorHAnsi" w:hAnsiTheme="majorHAnsi"/>
          <w:b/>
          <w:u w:val="single"/>
        </w:rPr>
      </w:pPr>
      <w:r w:rsidRPr="008B3DC0">
        <w:rPr>
          <w:rFonts w:asciiTheme="majorHAnsi" w:hAnsiTheme="majorHAnsi"/>
          <w:b/>
          <w:u w:val="single"/>
        </w:rPr>
        <w:t xml:space="preserve">Documentation of Eligibility  </w:t>
      </w:r>
    </w:p>
    <w:p w14:paraId="575127BE" w14:textId="7C6D90B4" w:rsidR="006F7826" w:rsidRPr="008B3DC0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>Documentation of Homelessness</w:t>
      </w:r>
    </w:p>
    <w:p w14:paraId="5F6E8222" w14:textId="12553BF6" w:rsidR="006F7826" w:rsidRDefault="006F7826" w:rsidP="006F7826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Documentation of Disability - required for Permanent Supportive Housing (PSH) </w:t>
      </w:r>
    </w:p>
    <w:p w14:paraId="54452E0D" w14:textId="31FD4035" w:rsidR="009F0D54" w:rsidRPr="008B3DC0" w:rsidRDefault="009F0D54" w:rsidP="009F0D54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 xml:space="preserve">Homeless Verification and Disability Verification forms can be found here:  </w:t>
      </w:r>
      <w:hyperlink r:id="rId9" w:history="1">
        <w:r w:rsidRPr="009F0D54">
          <w:rPr>
            <w:rStyle w:val="Hyperlink"/>
            <w:rFonts w:asciiTheme="majorHAnsi" w:hAnsiTheme="majorHAnsi"/>
          </w:rPr>
          <w:t>http://www.ctbos.org/resources</w:t>
        </w:r>
      </w:hyperlink>
      <w:r w:rsidRPr="009F0D54">
        <w:rPr>
          <w:rFonts w:asciiTheme="majorHAnsi" w:hAnsiTheme="majorHAnsi"/>
        </w:rPr>
        <w:t>/</w:t>
      </w:r>
    </w:p>
    <w:p w14:paraId="2D833196" w14:textId="77777777" w:rsidR="007044D8" w:rsidRDefault="00F32184" w:rsidP="008B3DC0">
      <w:pPr>
        <w:pStyle w:val="ListParagraph"/>
        <w:ind w:left="1440"/>
        <w:rPr>
          <w:rFonts w:asciiTheme="majorHAnsi" w:hAnsiTheme="majorHAnsi"/>
        </w:rPr>
      </w:pPr>
      <w:r>
        <w:rPr>
          <w:rFonts w:asciiTheme="majorHAnsi" w:hAnsiTheme="majorHAnsi"/>
        </w:rPr>
        <w:t>Additional</w:t>
      </w:r>
      <w:r w:rsidR="008B3DC0" w:rsidRPr="008B3DC0">
        <w:rPr>
          <w:rFonts w:asciiTheme="majorHAnsi" w:hAnsiTheme="majorHAnsi"/>
        </w:rPr>
        <w:t xml:space="preserve"> forms and guidance available at:</w:t>
      </w:r>
    </w:p>
    <w:p w14:paraId="1D121C2A" w14:textId="77777777" w:rsidR="008E7217" w:rsidRDefault="00D1550F" w:rsidP="008B3DC0">
      <w:pPr>
        <w:pStyle w:val="ListParagraph"/>
        <w:ind w:left="1440"/>
        <w:rPr>
          <w:rFonts w:asciiTheme="majorHAnsi" w:hAnsiTheme="majorHAnsi"/>
        </w:rPr>
      </w:pPr>
      <w:hyperlink r:id="rId10" w:history="1">
        <w:r w:rsidR="007044D8" w:rsidRPr="007044D8">
          <w:rPr>
            <w:rStyle w:val="Hyperlink"/>
            <w:rFonts w:asciiTheme="majorHAnsi" w:hAnsiTheme="majorHAnsi"/>
          </w:rPr>
          <w:t>http://www.ctbos.org/wp-content/uploads/2017/04/CT-CoC-Eligibilility-Verification-Resources-Compiled-2017.10.30.pdf</w:t>
        </w:r>
      </w:hyperlink>
    </w:p>
    <w:p w14:paraId="5ACF3479" w14:textId="77777777" w:rsidR="007044D8" w:rsidRPr="008B3DC0" w:rsidRDefault="007044D8" w:rsidP="008B3DC0">
      <w:pPr>
        <w:pStyle w:val="ListParagraph"/>
        <w:ind w:left="1440"/>
        <w:rPr>
          <w:rFonts w:asciiTheme="majorHAnsi" w:hAnsiTheme="majorHAnsi"/>
        </w:rPr>
      </w:pPr>
    </w:p>
    <w:p w14:paraId="5A1CEF28" w14:textId="77777777" w:rsidR="006F7826" w:rsidRDefault="00447FC4" w:rsidP="00447FC4">
      <w:pPr>
        <w:ind w:left="720"/>
        <w:rPr>
          <w:rFonts w:asciiTheme="majorHAnsi" w:hAnsiTheme="majorHAnsi"/>
        </w:rPr>
      </w:pPr>
      <w:r>
        <w:rPr>
          <w:rFonts w:asciiTheme="majorHAnsi" w:hAnsiTheme="majorHAnsi"/>
        </w:rPr>
        <w:t>Documentation must demonstrate homelessness at project entry (i.e., the date on which the applicant accepts an available spot in the project – project entry may precede the date housed)</w:t>
      </w:r>
    </w:p>
    <w:p w14:paraId="230FAC46" w14:textId="77777777" w:rsidR="00447FC4" w:rsidRPr="008B3DC0" w:rsidRDefault="00447FC4" w:rsidP="007877D9">
      <w:pPr>
        <w:ind w:left="720"/>
        <w:rPr>
          <w:rFonts w:asciiTheme="majorHAnsi" w:hAnsiTheme="majorHAnsi"/>
        </w:rPr>
      </w:pPr>
    </w:p>
    <w:p w14:paraId="2B50ABA2" w14:textId="77777777" w:rsidR="006F7826" w:rsidRPr="006D2BF1" w:rsidRDefault="00833F1C" w:rsidP="007877D9">
      <w:pPr>
        <w:pStyle w:val="3vff3xh4yd"/>
        <w:numPr>
          <w:ilvl w:val="0"/>
          <w:numId w:val="1"/>
        </w:numPr>
        <w:shd w:val="clear" w:color="auto" w:fill="FFFFFF"/>
        <w:spacing w:before="0" w:beforeAutospacing="0" w:after="0" w:afterAutospacing="0"/>
        <w:rPr>
          <w:rFonts w:ascii="Calibri" w:hAnsi="Calibri" w:cs="Calibri"/>
        </w:rPr>
      </w:pPr>
      <w:r w:rsidRPr="006D2BF1">
        <w:rPr>
          <w:rFonts w:ascii="Calibri" w:hAnsi="Calibri" w:cs="Calibri"/>
          <w:b/>
          <w:u w:val="single"/>
        </w:rPr>
        <w:t xml:space="preserve">Current </w:t>
      </w:r>
      <w:r w:rsidR="006F7826" w:rsidRPr="006D2BF1">
        <w:rPr>
          <w:rFonts w:ascii="Calibri" w:hAnsi="Calibri" w:cs="Calibri"/>
          <w:b/>
          <w:u w:val="single"/>
        </w:rPr>
        <w:t>Lease or Occupancy Agreement</w:t>
      </w:r>
      <w:r w:rsidR="00DF3C03" w:rsidRPr="006D2BF1">
        <w:rPr>
          <w:rFonts w:ascii="Calibri" w:hAnsi="Calibri" w:cs="Calibri"/>
          <w:b/>
          <w:u w:val="single"/>
        </w:rPr>
        <w:t xml:space="preserve"> </w:t>
      </w:r>
      <w:r w:rsidR="00AD2BE0" w:rsidRPr="006D2BF1">
        <w:rPr>
          <w:rFonts w:ascii="Calibri" w:hAnsi="Calibri" w:cs="Calibri"/>
        </w:rPr>
        <w:t>–</w:t>
      </w:r>
      <w:r w:rsidR="00FE22D0" w:rsidRPr="006D2BF1">
        <w:rPr>
          <w:rFonts w:ascii="Calibri" w:hAnsi="Calibri" w:cs="Calibri"/>
        </w:rPr>
        <w:t xml:space="preserve"> </w:t>
      </w:r>
      <w:r w:rsidR="006035B1">
        <w:rPr>
          <w:rFonts w:ascii="Calibri" w:hAnsi="Calibri" w:cs="Calibri"/>
        </w:rPr>
        <w:t>Retention of a copy of the s</w:t>
      </w:r>
      <w:r w:rsidR="00AD2BE0" w:rsidRPr="006D2BF1">
        <w:rPr>
          <w:rFonts w:ascii="Calibri" w:hAnsi="Calibri" w:cs="Calibri"/>
        </w:rPr>
        <w:t>igned lease</w:t>
      </w:r>
      <w:r w:rsidR="00AE542B" w:rsidRPr="006D2BF1">
        <w:rPr>
          <w:rFonts w:ascii="Calibri" w:hAnsi="Calibri" w:cs="Calibri"/>
        </w:rPr>
        <w:t xml:space="preserve"> or occupancy agreement</w:t>
      </w:r>
      <w:r w:rsidR="00AD2BE0" w:rsidRPr="006D2BF1">
        <w:rPr>
          <w:rFonts w:ascii="Calibri" w:hAnsi="Calibri" w:cs="Calibri"/>
        </w:rPr>
        <w:t xml:space="preserve"> </w:t>
      </w:r>
      <w:r w:rsidR="006035B1">
        <w:rPr>
          <w:rFonts w:ascii="Calibri" w:hAnsi="Calibri" w:cs="Calibri"/>
        </w:rPr>
        <w:t xml:space="preserve">is </w:t>
      </w:r>
      <w:r w:rsidR="00AD2BE0" w:rsidRPr="006D2BF1">
        <w:rPr>
          <w:rFonts w:ascii="Calibri" w:hAnsi="Calibri" w:cs="Calibri"/>
        </w:rPr>
        <w:t xml:space="preserve">required for PSH, Transitional Housing (TH), and Rapid Re-housing (RRH).  </w:t>
      </w:r>
      <w:r w:rsidRPr="006D2BF1">
        <w:rPr>
          <w:rFonts w:ascii="Calibri" w:hAnsi="Calibri" w:cs="Calibri"/>
        </w:rPr>
        <w:t>Leases</w:t>
      </w:r>
      <w:r w:rsidR="007877D9" w:rsidRPr="006D2BF1">
        <w:rPr>
          <w:rFonts w:ascii="Calibri" w:hAnsi="Calibri" w:cs="Calibri"/>
        </w:rPr>
        <w:t>/agreements</w:t>
      </w:r>
      <w:r w:rsidRPr="006D2BF1">
        <w:rPr>
          <w:rFonts w:ascii="Calibri" w:hAnsi="Calibri" w:cs="Calibri"/>
        </w:rPr>
        <w:t xml:space="preserve"> m</w:t>
      </w:r>
      <w:r w:rsidR="00764448" w:rsidRPr="006D2BF1">
        <w:rPr>
          <w:rFonts w:ascii="Calibri" w:hAnsi="Calibri" w:cs="Calibri"/>
        </w:rPr>
        <w:t>ust be consistent with Housing F</w:t>
      </w:r>
      <w:r w:rsidRPr="006D2BF1">
        <w:rPr>
          <w:rFonts w:ascii="Calibri" w:hAnsi="Calibri" w:cs="Calibri"/>
        </w:rPr>
        <w:t xml:space="preserve">irst and include </w:t>
      </w:r>
      <w:r w:rsidR="006D2BF1" w:rsidRPr="006D2BF1">
        <w:rPr>
          <w:rFonts w:ascii="Calibri" w:hAnsi="Calibri" w:cs="Calibri"/>
        </w:rPr>
        <w:t>an addendum outlining</w:t>
      </w:r>
      <w:r w:rsidRPr="006D2BF1">
        <w:rPr>
          <w:rFonts w:ascii="Calibri" w:hAnsi="Calibri" w:cs="Calibri"/>
        </w:rPr>
        <w:t xml:space="preserve"> VAWA protections</w:t>
      </w:r>
      <w:r w:rsidR="00584C75" w:rsidRPr="006D2BF1">
        <w:rPr>
          <w:rFonts w:ascii="Calibri" w:hAnsi="Calibri" w:cs="Calibri"/>
        </w:rPr>
        <w:t>.</w:t>
      </w:r>
      <w:r w:rsidR="006D2BF1" w:rsidRPr="006D2BF1">
        <w:rPr>
          <w:rFonts w:ascii="Calibri" w:hAnsi="Calibri" w:cs="Calibri"/>
        </w:rPr>
        <w:t xml:space="preserve"> </w:t>
      </w:r>
      <w:r w:rsidR="006035B1" w:rsidRPr="006D2BF1">
        <w:rPr>
          <w:rStyle w:val="Hyperlink"/>
          <w:rFonts w:ascii="Calibri" w:hAnsi="Calibri" w:cs="Calibri"/>
          <w:color w:val="auto"/>
          <w:u w:val="none"/>
        </w:rPr>
        <w:t xml:space="preserve">Agreement/lease should provide formal due process rights.  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>For PSH</w:t>
      </w:r>
      <w:r w:rsidR="006035B1">
        <w:rPr>
          <w:rStyle w:val="Hyperlink"/>
          <w:rFonts w:ascii="Calibri" w:hAnsi="Calibri" w:cs="Calibri"/>
          <w:color w:val="auto"/>
          <w:u w:val="none"/>
        </w:rPr>
        <w:t>,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lease</w:t>
      </w:r>
      <w:r w:rsidR="006035B1">
        <w:rPr>
          <w:rStyle w:val="Hyperlink"/>
          <w:rFonts w:ascii="Calibri" w:hAnsi="Calibri" w:cs="Calibri"/>
          <w:color w:val="auto"/>
          <w:u w:val="none"/>
        </w:rPr>
        <w:t>s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must be for an initial one-year term renewable for a minimum term of 1 month and terminable only for cause.  For rental assistance projects, leases must be between the program participant and the landowner or sublessor.  For leasing projects, leases must be between the</w:t>
      </w:r>
      <w:r w:rsidR="006D2BF1" w:rsidRPr="006D2BF1">
        <w:rPr>
          <w:rFonts w:ascii="Calibri" w:hAnsi="Calibri" w:cs="Calibri"/>
        </w:rPr>
        <w:t xml:space="preserve"> recipient or subrecipient of CoC funds and the landowner</w:t>
      </w:r>
      <w:r w:rsidR="006035B1">
        <w:rPr>
          <w:rFonts w:ascii="Calibri" w:hAnsi="Calibri" w:cs="Calibri"/>
        </w:rPr>
        <w:t>.</w:t>
      </w:r>
      <w:r w:rsidR="006D2BF1" w:rsidRPr="006D2BF1">
        <w:rPr>
          <w:rStyle w:val="Hyperlink"/>
          <w:rFonts w:ascii="Calibri" w:hAnsi="Calibri" w:cs="Calibri"/>
          <w:color w:val="auto"/>
          <w:u w:val="none"/>
        </w:rPr>
        <w:t xml:space="preserve"> </w:t>
      </w:r>
    </w:p>
    <w:p w14:paraId="50D53427" w14:textId="77777777" w:rsidR="006F7826" w:rsidRPr="008B3DC0" w:rsidRDefault="006F7826" w:rsidP="006F7826">
      <w:pPr>
        <w:rPr>
          <w:rFonts w:asciiTheme="majorHAnsi" w:hAnsiTheme="majorHAnsi"/>
        </w:rPr>
      </w:pPr>
    </w:p>
    <w:p w14:paraId="1E3E8EE4" w14:textId="77777777" w:rsidR="006F7826" w:rsidRPr="007877D9" w:rsidRDefault="006F7826" w:rsidP="007877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7877D9">
        <w:rPr>
          <w:rFonts w:asciiTheme="majorHAnsi" w:hAnsiTheme="majorHAnsi"/>
          <w:b/>
          <w:u w:val="single"/>
        </w:rPr>
        <w:t>Income</w:t>
      </w:r>
      <w:r w:rsidRPr="007877D9">
        <w:rPr>
          <w:rFonts w:asciiTheme="majorHAnsi" w:hAnsiTheme="majorHAnsi"/>
          <w:u w:val="single"/>
        </w:rPr>
        <w:t xml:space="preserve"> </w:t>
      </w:r>
      <w:r w:rsidRPr="007877D9">
        <w:rPr>
          <w:rFonts w:asciiTheme="majorHAnsi" w:hAnsiTheme="majorHAnsi"/>
          <w:b/>
          <w:u w:val="single"/>
        </w:rPr>
        <w:t>and Rent/Occupancy Charge Information</w:t>
      </w:r>
      <w:r w:rsidRPr="007877D9">
        <w:rPr>
          <w:rFonts w:asciiTheme="majorHAnsi" w:hAnsiTheme="majorHAnsi"/>
        </w:rPr>
        <w:t>– If grantee imposes occupancy charges:</w:t>
      </w:r>
    </w:p>
    <w:p w14:paraId="60FC88AF" w14:textId="77777777" w:rsidR="006F7826" w:rsidRPr="008B3DC0" w:rsidRDefault="006F7826" w:rsidP="006F7826">
      <w:pPr>
        <w:rPr>
          <w:rFonts w:asciiTheme="majorHAnsi" w:hAnsiTheme="majorHAnsi"/>
        </w:rPr>
      </w:pPr>
    </w:p>
    <w:p w14:paraId="531482D5" w14:textId="43111CAF" w:rsidR="006F7826" w:rsidRPr="008B3DC0" w:rsidRDefault="006F7826" w:rsidP="007877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Income </w:t>
      </w:r>
      <w:r w:rsidR="00380DC7">
        <w:rPr>
          <w:rFonts w:asciiTheme="majorHAnsi" w:hAnsiTheme="majorHAnsi"/>
        </w:rPr>
        <w:t xml:space="preserve">for all household members </w:t>
      </w:r>
      <w:r w:rsidRPr="008B3DC0">
        <w:rPr>
          <w:rFonts w:asciiTheme="majorHAnsi" w:hAnsiTheme="majorHAnsi"/>
        </w:rPr>
        <w:t>must be calculated at least annually and updated upon change in accordance with 24 CFR 5.609 and 5.611</w:t>
      </w:r>
      <w:r w:rsidR="00AA1E36" w:rsidRPr="008B3DC0">
        <w:rPr>
          <w:rFonts w:asciiTheme="majorHAnsi" w:hAnsiTheme="majorHAnsi"/>
        </w:rPr>
        <w:t>.</w:t>
      </w:r>
      <w:r w:rsidRPr="008B3DC0">
        <w:rPr>
          <w:rFonts w:asciiTheme="majorHAnsi" w:hAnsiTheme="majorHAnsi"/>
        </w:rPr>
        <w:t xml:space="preserve"> </w:t>
      </w:r>
    </w:p>
    <w:p w14:paraId="54EBF660" w14:textId="77777777" w:rsidR="006F7826" w:rsidRPr="008B3DC0" w:rsidRDefault="006F7826" w:rsidP="007877D9">
      <w:pPr>
        <w:pStyle w:val="ListParagraph"/>
        <w:numPr>
          <w:ilvl w:val="1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Supporting documentation </w:t>
      </w:r>
      <w:r w:rsidR="001B55CA" w:rsidRPr="008B3DC0">
        <w:rPr>
          <w:rFonts w:asciiTheme="majorHAnsi" w:hAnsiTheme="majorHAnsi"/>
        </w:rPr>
        <w:t xml:space="preserve">of income </w:t>
      </w:r>
      <w:r w:rsidRPr="008B3DC0">
        <w:rPr>
          <w:rFonts w:asciiTheme="majorHAnsi" w:hAnsiTheme="majorHAnsi"/>
        </w:rPr>
        <w:t xml:space="preserve">(e.g. pay stubs or copy of disability check) </w:t>
      </w:r>
      <w:r w:rsidR="00833F1C">
        <w:rPr>
          <w:rFonts w:asciiTheme="majorHAnsi" w:hAnsiTheme="majorHAnsi"/>
        </w:rPr>
        <w:t xml:space="preserve">and allowable deducted expenses (e.g., unreimbursed medical, child care) </w:t>
      </w:r>
      <w:r w:rsidRPr="008B3DC0">
        <w:rPr>
          <w:rFonts w:asciiTheme="majorHAnsi" w:hAnsiTheme="majorHAnsi"/>
        </w:rPr>
        <w:t>must be maintained in file</w:t>
      </w:r>
      <w:r w:rsidR="00AA1E36" w:rsidRPr="008B3DC0">
        <w:rPr>
          <w:rFonts w:asciiTheme="majorHAnsi" w:hAnsiTheme="majorHAnsi"/>
        </w:rPr>
        <w:t>.</w:t>
      </w:r>
    </w:p>
    <w:p w14:paraId="7B57A846" w14:textId="77777777" w:rsidR="006F7826" w:rsidRPr="008B3DC0" w:rsidRDefault="006F7826" w:rsidP="007877D9">
      <w:pPr>
        <w:pStyle w:val="ListParagraph"/>
        <w:numPr>
          <w:ilvl w:val="1"/>
          <w:numId w:val="1"/>
        </w:numPr>
        <w:rPr>
          <w:rFonts w:asciiTheme="majorHAnsi" w:hAnsiTheme="majorHAnsi"/>
          <w:i/>
        </w:rPr>
      </w:pPr>
      <w:r w:rsidRPr="008B3DC0">
        <w:rPr>
          <w:rFonts w:asciiTheme="majorHAnsi" w:hAnsiTheme="majorHAnsi"/>
        </w:rPr>
        <w:t>Occupancy/rent charged may not be greater than 30% of family’s adjusted</w:t>
      </w:r>
      <w:r w:rsidR="00AA1E36" w:rsidRPr="008B3DC0">
        <w:rPr>
          <w:rFonts w:asciiTheme="majorHAnsi" w:hAnsiTheme="majorHAnsi"/>
        </w:rPr>
        <w:t xml:space="preserve"> income or 10% of gross income.</w:t>
      </w:r>
    </w:p>
    <w:p w14:paraId="6CDF78BE" w14:textId="6F8BAC04" w:rsidR="006F7826" w:rsidRPr="008B3DC0" w:rsidRDefault="00447FC4" w:rsidP="006F7826">
      <w:pPr>
        <w:pStyle w:val="ListParagraph"/>
        <w:rPr>
          <w:rFonts w:asciiTheme="majorHAnsi" w:hAnsiTheme="majorHAnsi"/>
        </w:rPr>
      </w:pPr>
      <w:r>
        <w:rPr>
          <w:rFonts w:asciiTheme="majorHAnsi" w:hAnsiTheme="majorHAnsi"/>
          <w:i/>
        </w:rPr>
        <w:t xml:space="preserve">Recommended that PSH/TH projects use DMHAS rent calculation </w:t>
      </w:r>
      <w:r w:rsidR="006050D3">
        <w:rPr>
          <w:rFonts w:asciiTheme="majorHAnsi" w:hAnsiTheme="majorHAnsi"/>
          <w:i/>
        </w:rPr>
        <w:t xml:space="preserve">spreadsheet, which can be found here:  </w:t>
      </w:r>
      <w:hyperlink r:id="rId11" w:history="1">
        <w:r w:rsidR="006050D3" w:rsidRPr="009F0D54">
          <w:rPr>
            <w:rStyle w:val="Hyperlink"/>
            <w:rFonts w:asciiTheme="majorHAnsi" w:hAnsiTheme="majorHAnsi"/>
            <w:i/>
          </w:rPr>
          <w:t>http://www.ctbos.org/wp-admin/post.php?post=4698&amp;action=edit#</w:t>
        </w:r>
        <w:r w:rsidR="009D00B5" w:rsidRPr="009F0D54">
          <w:rPr>
            <w:rStyle w:val="Hyperlink"/>
            <w:rFonts w:asciiTheme="majorHAnsi" w:hAnsiTheme="majorHAnsi"/>
            <w:i/>
          </w:rPr>
          <w:t>.</w:t>
        </w:r>
      </w:hyperlink>
    </w:p>
    <w:p w14:paraId="5427FFD7" w14:textId="77777777" w:rsidR="006F7826" w:rsidRPr="008B3DC0" w:rsidRDefault="006F7826" w:rsidP="006F7826">
      <w:pPr>
        <w:ind w:left="1440"/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 </w:t>
      </w:r>
    </w:p>
    <w:p w14:paraId="1D8ECDD3" w14:textId="35EE35E4" w:rsidR="00D9770B" w:rsidRPr="008B3DC0" w:rsidRDefault="00FE22D0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 xml:space="preserve">Housing </w:t>
      </w:r>
      <w:r w:rsidR="00DF3C03">
        <w:rPr>
          <w:rFonts w:asciiTheme="majorHAnsi" w:hAnsiTheme="majorHAnsi"/>
          <w:b/>
          <w:u w:val="single"/>
        </w:rPr>
        <w:t>Inspections</w:t>
      </w:r>
      <w:r w:rsidRPr="008B3DC0">
        <w:rPr>
          <w:rFonts w:asciiTheme="majorHAnsi" w:hAnsiTheme="majorHAnsi"/>
          <w:b/>
          <w:u w:val="single"/>
        </w:rPr>
        <w:t xml:space="preserve"> </w:t>
      </w:r>
      <w:r w:rsidR="00CF25DD" w:rsidRPr="008B3DC0">
        <w:rPr>
          <w:rFonts w:asciiTheme="majorHAnsi" w:hAnsiTheme="majorHAnsi"/>
        </w:rPr>
        <w:t xml:space="preserve">- </w:t>
      </w:r>
      <w:r w:rsidR="00CF25DD" w:rsidRPr="00CF25DD">
        <w:rPr>
          <w:rFonts w:asciiTheme="majorHAnsi" w:hAnsiTheme="majorHAnsi"/>
        </w:rPr>
        <w:t>Housing</w:t>
      </w:r>
      <w:r w:rsidR="00DF3C03" w:rsidRPr="009F0D54">
        <w:rPr>
          <w:rFonts w:asciiTheme="majorHAnsi" w:hAnsiTheme="majorHAnsi"/>
        </w:rPr>
        <w:t xml:space="preserve"> Quality Standards</w:t>
      </w:r>
      <w:r w:rsidR="00DF3C03">
        <w:rPr>
          <w:rFonts w:asciiTheme="majorHAnsi" w:hAnsiTheme="majorHAnsi"/>
        </w:rPr>
        <w:t xml:space="preserve"> r</w:t>
      </w:r>
      <w:r w:rsidRPr="008B3DC0">
        <w:rPr>
          <w:rFonts w:asciiTheme="majorHAnsi" w:hAnsiTheme="majorHAnsi"/>
        </w:rPr>
        <w:t xml:space="preserve">equired for PSH, TH, and RRH assisted through </w:t>
      </w:r>
      <w:r w:rsidR="00EC265D" w:rsidRPr="008B3DC0">
        <w:rPr>
          <w:rFonts w:asciiTheme="majorHAnsi" w:hAnsiTheme="majorHAnsi"/>
        </w:rPr>
        <w:t xml:space="preserve">CoC </w:t>
      </w:r>
      <w:r w:rsidR="00AA1E36" w:rsidRPr="008B3DC0">
        <w:rPr>
          <w:rFonts w:asciiTheme="majorHAnsi" w:hAnsiTheme="majorHAnsi"/>
        </w:rPr>
        <w:t>leasing or rental assistance.  Units m</w:t>
      </w:r>
      <w:r w:rsidR="00EC265D" w:rsidRPr="008B3DC0">
        <w:rPr>
          <w:rFonts w:asciiTheme="majorHAnsi" w:hAnsiTheme="majorHAnsi"/>
        </w:rPr>
        <w:t xml:space="preserve">ust be </w:t>
      </w:r>
      <w:r w:rsidRPr="008B3DC0">
        <w:rPr>
          <w:rFonts w:asciiTheme="majorHAnsi" w:hAnsiTheme="majorHAnsi"/>
        </w:rPr>
        <w:t>inspected prior to occupancy and</w:t>
      </w:r>
      <w:r w:rsidR="00EC265D" w:rsidRPr="008B3DC0">
        <w:rPr>
          <w:rFonts w:asciiTheme="majorHAnsi" w:hAnsiTheme="majorHAnsi"/>
        </w:rPr>
        <w:t xml:space="preserve"> re-inspected at least annually.</w:t>
      </w:r>
      <w:r w:rsidR="00DF3C03">
        <w:rPr>
          <w:rFonts w:asciiTheme="majorHAnsi" w:hAnsiTheme="majorHAnsi"/>
        </w:rPr>
        <w:t xml:space="preserve">  </w:t>
      </w:r>
      <w:r w:rsidR="009F0D54">
        <w:rPr>
          <w:rFonts w:asciiTheme="majorHAnsi" w:hAnsiTheme="majorHAnsi"/>
        </w:rPr>
        <w:t xml:space="preserve">Form can be found here:  </w:t>
      </w:r>
      <w:hyperlink r:id="rId12" w:history="1">
        <w:r w:rsidR="009F0D54" w:rsidRPr="009F0D54">
          <w:rPr>
            <w:rStyle w:val="Hyperlink"/>
            <w:rFonts w:asciiTheme="majorHAnsi" w:hAnsiTheme="majorHAnsi"/>
          </w:rPr>
          <w:t>http://portal.hud.gov/hudportal/documents/huddoc?id=52580.pdf</w:t>
        </w:r>
      </w:hyperlink>
    </w:p>
    <w:p w14:paraId="0A7ACEA7" w14:textId="77777777" w:rsidR="00DF3C03" w:rsidRPr="008B3DC0" w:rsidRDefault="00DF3C03" w:rsidP="007877D9">
      <w:pPr>
        <w:pStyle w:val="ListParagraph"/>
        <w:rPr>
          <w:rFonts w:asciiTheme="majorHAnsi" w:hAnsiTheme="majorHAnsi"/>
        </w:rPr>
      </w:pPr>
    </w:p>
    <w:p w14:paraId="24569C95" w14:textId="77777777" w:rsidR="006F7826" w:rsidRPr="008B3DC0" w:rsidRDefault="00F614DF" w:rsidP="007877D9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Rent Reasonableness</w:t>
      </w:r>
      <w:r w:rsidR="006035B1">
        <w:rPr>
          <w:rFonts w:asciiTheme="majorHAnsi" w:hAnsiTheme="majorHAnsi"/>
          <w:b/>
          <w:u w:val="single"/>
        </w:rPr>
        <w:t xml:space="preserve"> Determination</w:t>
      </w:r>
      <w:r w:rsidRPr="007877D9">
        <w:rPr>
          <w:rFonts w:asciiTheme="majorHAnsi" w:hAnsiTheme="majorHAnsi"/>
          <w:b/>
        </w:rPr>
        <w:t xml:space="preserve"> </w:t>
      </w:r>
      <w:r w:rsidR="009D00B5" w:rsidRPr="007877D9">
        <w:rPr>
          <w:rFonts w:asciiTheme="majorHAnsi" w:hAnsiTheme="majorHAnsi"/>
          <w:b/>
        </w:rPr>
        <w:t>-</w:t>
      </w:r>
      <w:r w:rsidR="009D00B5" w:rsidRPr="008B3DC0">
        <w:rPr>
          <w:rFonts w:asciiTheme="majorHAnsi" w:hAnsiTheme="majorHAnsi"/>
        </w:rPr>
        <w:t xml:space="preserve"> Required</w:t>
      </w:r>
      <w:r w:rsidRPr="008B3DC0">
        <w:rPr>
          <w:rFonts w:asciiTheme="majorHAnsi" w:hAnsiTheme="majorHAnsi"/>
        </w:rPr>
        <w:t xml:space="preserve"> for PSH, TH, and RRH assisted through CoC leasing or rental assistance.   Must include 3 comparable units.</w:t>
      </w:r>
      <w:r w:rsidR="007877D9">
        <w:rPr>
          <w:rFonts w:asciiTheme="majorHAnsi" w:hAnsiTheme="majorHAnsi"/>
        </w:rPr>
        <w:t xml:space="preserve"> Complete prior to initial rental and as part of annual recertification.</w:t>
      </w:r>
    </w:p>
    <w:p w14:paraId="29C1D7A6" w14:textId="77777777" w:rsidR="00F614DF" w:rsidRPr="008B3DC0" w:rsidRDefault="00F614DF" w:rsidP="00F614DF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Sample “Rent Reasonableness Checklist and Certification” form available at: </w:t>
      </w:r>
      <w:hyperlink r:id="rId13" w:history="1">
        <w:r w:rsidR="00D20A1C" w:rsidRPr="00D20A1C">
          <w:rPr>
            <w:rStyle w:val="Hyperlink"/>
            <w:rFonts w:asciiTheme="majorHAnsi" w:hAnsiTheme="majorHAnsi"/>
          </w:rPr>
          <w:t>https://www.hudexchange.info/resources/documents/RentReasonableChecklist.pdf</w:t>
        </w:r>
      </w:hyperlink>
    </w:p>
    <w:p w14:paraId="0C7AB4C7" w14:textId="77777777" w:rsidR="00F614DF" w:rsidRPr="008B3DC0" w:rsidRDefault="00F614DF" w:rsidP="00F614DF">
      <w:pPr>
        <w:pStyle w:val="ListParagraph"/>
        <w:spacing w:after="200" w:line="276" w:lineRule="auto"/>
        <w:rPr>
          <w:rStyle w:val="Hyperlink"/>
          <w:rFonts w:asciiTheme="majorHAnsi" w:hAnsiTheme="majorHAnsi"/>
        </w:rPr>
      </w:pPr>
    </w:p>
    <w:p w14:paraId="5A75F5FB" w14:textId="129BA102" w:rsidR="00F601A3" w:rsidRPr="007877D9" w:rsidRDefault="00F601A3" w:rsidP="007877D9">
      <w:pPr>
        <w:pStyle w:val="ListParagraph"/>
        <w:numPr>
          <w:ilvl w:val="0"/>
          <w:numId w:val="1"/>
        </w:numPr>
        <w:spacing w:after="160" w:line="259" w:lineRule="auto"/>
        <w:rPr>
          <w:rFonts w:asciiTheme="majorHAnsi" w:hAnsiTheme="majorHAnsi"/>
          <w:i/>
        </w:rPr>
      </w:pPr>
      <w:r w:rsidRPr="008B3DC0">
        <w:rPr>
          <w:rFonts w:asciiTheme="majorHAnsi" w:hAnsiTheme="majorHAnsi"/>
          <w:b/>
          <w:u w:val="single"/>
        </w:rPr>
        <w:t>Lead based paint</w:t>
      </w:r>
      <w:r w:rsidR="009D00B5" w:rsidRPr="0035332B">
        <w:rPr>
          <w:rFonts w:asciiTheme="majorHAnsi" w:hAnsiTheme="majorHAnsi"/>
          <w:b/>
        </w:rPr>
        <w:t>-</w:t>
      </w:r>
      <w:r w:rsidR="009D00B5" w:rsidRPr="009D00B5">
        <w:rPr>
          <w:rFonts w:asciiTheme="majorHAnsi" w:hAnsiTheme="majorHAnsi"/>
        </w:rPr>
        <w:t xml:space="preserve"> </w:t>
      </w:r>
      <w:r w:rsidR="009D00B5" w:rsidRPr="008B3DC0">
        <w:rPr>
          <w:rFonts w:asciiTheme="majorHAnsi" w:hAnsiTheme="majorHAnsi"/>
        </w:rPr>
        <w:t>Must</w:t>
      </w:r>
      <w:r w:rsidRPr="008B3DC0">
        <w:rPr>
          <w:rFonts w:asciiTheme="majorHAnsi" w:hAnsiTheme="majorHAnsi"/>
        </w:rPr>
        <w:t xml:space="preserve"> conduct a visual assessment of all units receiving financial assistance if the unit was constructed prior to 1978 and if there will be a child under 6 years of age or a pregnant woman residing in the unit.</w:t>
      </w:r>
      <w:r w:rsidR="00CD62F1">
        <w:rPr>
          <w:rFonts w:asciiTheme="majorHAnsi" w:hAnsiTheme="majorHAnsi"/>
        </w:rPr>
        <w:t xml:space="preserve">  Participant files must document </w:t>
      </w:r>
      <w:r w:rsidR="007877D9">
        <w:rPr>
          <w:rFonts w:asciiTheme="majorHAnsi" w:hAnsiTheme="majorHAnsi"/>
        </w:rPr>
        <w:t xml:space="preserve">completion of the assessment </w:t>
      </w:r>
      <w:r w:rsidR="006035B1">
        <w:rPr>
          <w:rFonts w:asciiTheme="majorHAnsi" w:hAnsiTheme="majorHAnsi"/>
        </w:rPr>
        <w:t xml:space="preserve">in HQS </w:t>
      </w:r>
      <w:r w:rsidR="007877D9">
        <w:rPr>
          <w:rFonts w:asciiTheme="majorHAnsi" w:hAnsiTheme="majorHAnsi"/>
        </w:rPr>
        <w:t xml:space="preserve">and </w:t>
      </w:r>
      <w:r w:rsidR="00CD62F1">
        <w:rPr>
          <w:rFonts w:asciiTheme="majorHAnsi" w:hAnsiTheme="majorHAnsi"/>
        </w:rPr>
        <w:t xml:space="preserve">receipt of the </w:t>
      </w:r>
      <w:r w:rsidR="00AD2BE0" w:rsidRPr="009F0D54">
        <w:rPr>
          <w:rFonts w:asciiTheme="majorHAnsi" w:hAnsiTheme="majorHAnsi"/>
        </w:rPr>
        <w:t>Lead Hazard Information pamphlet</w:t>
      </w:r>
      <w:r w:rsidR="009F0D54">
        <w:rPr>
          <w:rFonts w:asciiTheme="majorHAnsi" w:hAnsiTheme="majorHAnsi"/>
        </w:rPr>
        <w:t xml:space="preserve">, which can be found at:  </w:t>
      </w:r>
      <w:r w:rsidR="007877D9">
        <w:rPr>
          <w:rFonts w:asciiTheme="majorHAnsi" w:hAnsiTheme="majorHAnsi"/>
        </w:rPr>
        <w:t xml:space="preserve"> </w:t>
      </w:r>
      <w:hyperlink r:id="rId14" w:history="1">
        <w:r w:rsidR="009F0D54" w:rsidRPr="009F0D54">
          <w:rPr>
            <w:rStyle w:val="Hyperlink"/>
            <w:rFonts w:asciiTheme="majorHAnsi" w:hAnsiTheme="majorHAnsi"/>
          </w:rPr>
          <w:t>https://www.hud.gov/program_offices/healthy_homes/enforcement/disclosure</w:t>
        </w:r>
      </w:hyperlink>
      <w:r w:rsidR="009F0D54">
        <w:rPr>
          <w:rFonts w:asciiTheme="majorHAnsi" w:hAnsiTheme="majorHAnsi"/>
        </w:rPr>
        <w:t xml:space="preserve">. </w:t>
      </w:r>
      <w:r w:rsidR="007877D9">
        <w:rPr>
          <w:rFonts w:asciiTheme="majorHAnsi" w:hAnsiTheme="majorHAnsi"/>
        </w:rPr>
        <w:t xml:space="preserve"> For staff completing the visual assessment maintain documentation of completion of the </w:t>
      </w:r>
      <w:r w:rsidR="00304E59">
        <w:rPr>
          <w:rFonts w:asciiTheme="majorHAnsi" w:hAnsiTheme="majorHAnsi"/>
        </w:rPr>
        <w:t xml:space="preserve">related </w:t>
      </w:r>
      <w:r w:rsidR="007877D9">
        <w:rPr>
          <w:rFonts w:asciiTheme="majorHAnsi" w:hAnsiTheme="majorHAnsi"/>
        </w:rPr>
        <w:t>HUD web-based training available at:</w:t>
      </w:r>
      <w:r w:rsidRPr="007877D9">
        <w:rPr>
          <w:rFonts w:asciiTheme="majorHAnsi" w:hAnsiTheme="majorHAnsi"/>
          <w:i/>
        </w:rPr>
        <w:t xml:space="preserve">  </w:t>
      </w:r>
    </w:p>
    <w:p w14:paraId="7A6A8728" w14:textId="77777777" w:rsidR="00C86951" w:rsidRPr="008B3DC0" w:rsidRDefault="00D1550F" w:rsidP="00F601A3">
      <w:pPr>
        <w:pStyle w:val="ListParagraph"/>
        <w:spacing w:before="240"/>
        <w:rPr>
          <w:rFonts w:asciiTheme="majorHAnsi" w:hAnsiTheme="majorHAnsi"/>
          <w:i/>
        </w:rPr>
      </w:pPr>
      <w:hyperlink r:id="rId15" w:history="1">
        <w:r w:rsidR="00C86951" w:rsidRPr="00C86951">
          <w:rPr>
            <w:rStyle w:val="Hyperlink"/>
            <w:rFonts w:asciiTheme="majorHAnsi" w:hAnsiTheme="majorHAnsi"/>
            <w:i/>
          </w:rPr>
          <w:t>https://apps.hud.gov/offices/lead/training/visualassessment/h00300.htm</w:t>
        </w:r>
      </w:hyperlink>
    </w:p>
    <w:p w14:paraId="63CFF5BA" w14:textId="77777777" w:rsidR="00231CFA" w:rsidRPr="00231CFA" w:rsidRDefault="00231CFA" w:rsidP="00231CFA">
      <w:pPr>
        <w:pStyle w:val="ListParagraph"/>
        <w:rPr>
          <w:rFonts w:asciiTheme="majorHAnsi" w:hAnsiTheme="majorHAnsi"/>
        </w:rPr>
      </w:pPr>
    </w:p>
    <w:p w14:paraId="3C12C580" w14:textId="77777777" w:rsidR="006035B1" w:rsidRDefault="00766122" w:rsidP="006035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A435CA">
        <w:rPr>
          <w:rFonts w:asciiTheme="majorHAnsi" w:hAnsiTheme="majorHAnsi"/>
          <w:b/>
          <w:u w:val="single"/>
        </w:rPr>
        <w:t>Termination of Assistance</w:t>
      </w:r>
      <w:r w:rsidRPr="00A435CA">
        <w:rPr>
          <w:rFonts w:asciiTheme="majorHAnsi" w:hAnsiTheme="majorHAnsi"/>
        </w:rPr>
        <w:t xml:space="preserve"> –Applies to files of participants who have been terminated/discharged from the CoC program.  Must demonstrate participant was notified of formal due process and provided a written cop</w:t>
      </w:r>
      <w:r w:rsidR="00C86951" w:rsidRPr="00A435CA">
        <w:rPr>
          <w:rFonts w:asciiTheme="majorHAnsi" w:hAnsiTheme="majorHAnsi"/>
        </w:rPr>
        <w:t>y</w:t>
      </w:r>
      <w:r w:rsidRPr="00A435CA">
        <w:rPr>
          <w:rFonts w:asciiTheme="majorHAnsi" w:hAnsiTheme="majorHAnsi"/>
        </w:rPr>
        <w:t xml:space="preserve"> of rules, written notice of termination with clear statement of reasons for terminating, opportunity to appeal decision, and </w:t>
      </w:r>
      <w:r w:rsidR="001B55CA" w:rsidRPr="00A435CA">
        <w:rPr>
          <w:rFonts w:asciiTheme="majorHAnsi" w:hAnsiTheme="majorHAnsi"/>
        </w:rPr>
        <w:t xml:space="preserve">right to </w:t>
      </w:r>
      <w:r w:rsidRPr="00A435CA">
        <w:rPr>
          <w:rFonts w:asciiTheme="majorHAnsi" w:hAnsiTheme="majorHAnsi"/>
        </w:rPr>
        <w:t>receiv</w:t>
      </w:r>
      <w:r w:rsidR="001B55CA" w:rsidRPr="00A435CA">
        <w:rPr>
          <w:rFonts w:asciiTheme="majorHAnsi" w:hAnsiTheme="majorHAnsi"/>
        </w:rPr>
        <w:t>e</w:t>
      </w:r>
      <w:r w:rsidRPr="00A435CA">
        <w:rPr>
          <w:rFonts w:asciiTheme="majorHAnsi" w:hAnsiTheme="majorHAnsi"/>
        </w:rPr>
        <w:t xml:space="preserve"> written notification of final decision.</w:t>
      </w:r>
      <w:r w:rsidR="00304E59" w:rsidRPr="00304E59">
        <w:rPr>
          <w:rFonts w:asciiTheme="majorHAnsi" w:hAnsiTheme="majorHAnsi"/>
        </w:rPr>
        <w:t xml:space="preserve">  This notification should be provided for all non-deceased participants exiting the project, regardless of whether the exit is voluntary or involuntary.  Send the notification to the last known address</w:t>
      </w:r>
      <w:r w:rsidR="00304E59">
        <w:rPr>
          <w:rFonts w:asciiTheme="majorHAnsi" w:hAnsiTheme="majorHAnsi"/>
        </w:rPr>
        <w:t>,</w:t>
      </w:r>
      <w:r w:rsidR="00304E59" w:rsidRPr="00304E59">
        <w:rPr>
          <w:rFonts w:asciiTheme="majorHAnsi" w:hAnsiTheme="majorHAnsi"/>
        </w:rPr>
        <w:t xml:space="preserve"> if current address is unknown. </w:t>
      </w:r>
      <w:r w:rsidR="00304E59">
        <w:rPr>
          <w:rFonts w:asciiTheme="majorHAnsi" w:hAnsiTheme="majorHAnsi"/>
        </w:rPr>
        <w:t>CT BOS also requires that, if the participant is at-risk of a return to homelessness, the project notifies the CAN so that they CAN may convene a case conference and determine any additional interventions that may be offered to prevent homelessness.</w:t>
      </w:r>
      <w:r w:rsidR="00304E59" w:rsidRPr="00304E59">
        <w:rPr>
          <w:rFonts w:asciiTheme="majorHAnsi" w:hAnsiTheme="majorHAnsi"/>
        </w:rPr>
        <w:t xml:space="preserve"> </w:t>
      </w:r>
    </w:p>
    <w:p w14:paraId="372F8CAD" w14:textId="77777777" w:rsidR="006035B1" w:rsidRDefault="006035B1" w:rsidP="006035B1">
      <w:pPr>
        <w:pStyle w:val="ListParagraph"/>
        <w:rPr>
          <w:rFonts w:asciiTheme="majorHAnsi" w:hAnsiTheme="majorHAnsi"/>
        </w:rPr>
      </w:pPr>
    </w:p>
    <w:p w14:paraId="3634A622" w14:textId="77777777" w:rsidR="001B55CA" w:rsidRPr="006035B1" w:rsidRDefault="001B55CA" w:rsidP="006035B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035B1">
        <w:rPr>
          <w:rFonts w:asciiTheme="majorHAnsi" w:hAnsiTheme="majorHAnsi"/>
          <w:b/>
          <w:u w:val="single"/>
        </w:rPr>
        <w:t>On-going assessment of supportive services</w:t>
      </w:r>
      <w:bookmarkStart w:id="0" w:name="_GoBack"/>
      <w:bookmarkEnd w:id="0"/>
      <w:r w:rsidRPr="006035B1">
        <w:rPr>
          <w:rFonts w:asciiTheme="majorHAnsi" w:hAnsiTheme="majorHAnsi"/>
          <w:b/>
          <w:u w:val="single"/>
        </w:rPr>
        <w:t xml:space="preserve"> needs</w:t>
      </w:r>
      <w:r w:rsidRPr="006035B1">
        <w:rPr>
          <w:rFonts w:asciiTheme="majorHAnsi" w:hAnsiTheme="majorHAnsi"/>
          <w:b/>
        </w:rPr>
        <w:t xml:space="preserve"> </w:t>
      </w:r>
      <w:r w:rsidR="00962868" w:rsidRPr="006035B1">
        <w:rPr>
          <w:rFonts w:asciiTheme="majorHAnsi" w:hAnsiTheme="majorHAnsi"/>
          <w:b/>
        </w:rPr>
        <w:t xml:space="preserve">- </w:t>
      </w:r>
      <w:r w:rsidR="00962868" w:rsidRPr="006035B1">
        <w:rPr>
          <w:rFonts w:asciiTheme="majorHAnsi" w:hAnsiTheme="majorHAnsi"/>
        </w:rPr>
        <w:t>Evidence</w:t>
      </w:r>
      <w:r w:rsidRPr="006035B1">
        <w:rPr>
          <w:rFonts w:asciiTheme="majorHAnsi" w:hAnsiTheme="majorHAnsi"/>
        </w:rPr>
        <w:t xml:space="preserve"> that the grantee conducted </w:t>
      </w:r>
      <w:r w:rsidR="00B0595C" w:rsidRPr="006035B1">
        <w:rPr>
          <w:rFonts w:asciiTheme="majorHAnsi" w:hAnsiTheme="majorHAnsi"/>
        </w:rPr>
        <w:t>on-going</w:t>
      </w:r>
      <w:r w:rsidRPr="006035B1">
        <w:rPr>
          <w:rFonts w:asciiTheme="majorHAnsi" w:hAnsiTheme="majorHAnsi"/>
        </w:rPr>
        <w:t xml:space="preserve"> assessment</w:t>
      </w:r>
      <w:r w:rsidR="00B0595C" w:rsidRPr="006035B1">
        <w:rPr>
          <w:rFonts w:asciiTheme="majorHAnsi" w:hAnsiTheme="majorHAnsi"/>
        </w:rPr>
        <w:t>s</w:t>
      </w:r>
      <w:r w:rsidRPr="006035B1">
        <w:rPr>
          <w:rFonts w:asciiTheme="majorHAnsi" w:hAnsiTheme="majorHAnsi"/>
        </w:rPr>
        <w:t xml:space="preserve"> of participant’s </w:t>
      </w:r>
      <w:r w:rsidR="00B0595C" w:rsidRPr="006035B1">
        <w:rPr>
          <w:rFonts w:asciiTheme="majorHAnsi" w:hAnsiTheme="majorHAnsi"/>
        </w:rPr>
        <w:t xml:space="preserve">supportive </w:t>
      </w:r>
      <w:r w:rsidRPr="006035B1">
        <w:rPr>
          <w:rFonts w:asciiTheme="majorHAnsi" w:hAnsiTheme="majorHAnsi"/>
        </w:rPr>
        <w:t>service needs</w:t>
      </w:r>
      <w:r w:rsidR="00B0595C" w:rsidRPr="006035B1">
        <w:rPr>
          <w:rFonts w:asciiTheme="majorHAnsi" w:hAnsiTheme="majorHAnsi"/>
        </w:rPr>
        <w:t xml:space="preserve"> including services needed, their availability, and the coordination of services to ensure long-term housing stability at least annually</w:t>
      </w:r>
      <w:r w:rsidRPr="006035B1">
        <w:rPr>
          <w:rFonts w:asciiTheme="majorHAnsi" w:hAnsiTheme="majorHAnsi"/>
        </w:rPr>
        <w:t>.</w:t>
      </w:r>
      <w:r w:rsidR="00304E59" w:rsidRPr="006035B1">
        <w:rPr>
          <w:rFonts w:asciiTheme="majorHAnsi" w:hAnsiTheme="majorHAnsi"/>
        </w:rPr>
        <w:t xml:space="preserve"> (CT BOS recommends and DMHAS requires a needs assessment at least every 6 months).</w:t>
      </w:r>
      <w:r w:rsidR="006D2BF1" w:rsidRPr="006035B1">
        <w:rPr>
          <w:rFonts w:asciiTheme="majorHAnsi" w:hAnsiTheme="majorHAnsi"/>
        </w:rPr>
        <w:t xml:space="preserve"> Sample assessment available at:  </w:t>
      </w:r>
      <w:hyperlink r:id="rId16" w:history="1">
        <w:r w:rsidR="006D2BF1" w:rsidRPr="006035B1">
          <w:rPr>
            <w:rStyle w:val="Hyperlink"/>
            <w:rFonts w:asciiTheme="majorHAnsi" w:hAnsiTheme="majorHAnsi"/>
          </w:rPr>
          <w:t>https://www.csh.org/resources/intakeassessment-form-sample/</w:t>
        </w:r>
      </w:hyperlink>
    </w:p>
    <w:p w14:paraId="1CD645AA" w14:textId="77777777" w:rsidR="00B0595C" w:rsidRPr="00304E59" w:rsidRDefault="00B0595C" w:rsidP="00304E59">
      <w:pPr>
        <w:pStyle w:val="ListParagraph"/>
        <w:rPr>
          <w:rFonts w:asciiTheme="majorHAnsi" w:hAnsiTheme="majorHAnsi"/>
        </w:rPr>
      </w:pPr>
    </w:p>
    <w:p w14:paraId="633B4008" w14:textId="77777777" w:rsidR="00B0595C" w:rsidRDefault="00B0595C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Home Visits*</w:t>
      </w:r>
      <w:r>
        <w:rPr>
          <w:rFonts w:asciiTheme="majorHAnsi" w:hAnsiTheme="majorHAnsi"/>
        </w:rPr>
        <w:t xml:space="preserve"> – </w:t>
      </w:r>
      <w:r w:rsidR="00304E59">
        <w:rPr>
          <w:rFonts w:asciiTheme="majorHAnsi" w:hAnsiTheme="majorHAnsi"/>
        </w:rPr>
        <w:t xml:space="preserve">Documentation that staff </w:t>
      </w:r>
      <w:r>
        <w:rPr>
          <w:rFonts w:asciiTheme="majorHAnsi" w:hAnsiTheme="majorHAnsi"/>
        </w:rPr>
        <w:t xml:space="preserve">meets with participants in their apartments at </w:t>
      </w:r>
      <w:r w:rsidR="00304E59">
        <w:rPr>
          <w:rFonts w:asciiTheme="majorHAnsi" w:hAnsiTheme="majorHAnsi"/>
        </w:rPr>
        <w:t xml:space="preserve">a frequency that is responsive to participant needs and </w:t>
      </w:r>
      <w:r>
        <w:rPr>
          <w:rFonts w:asciiTheme="majorHAnsi" w:hAnsiTheme="majorHAnsi"/>
        </w:rPr>
        <w:t>least every six months.</w:t>
      </w:r>
    </w:p>
    <w:p w14:paraId="7314525D" w14:textId="77777777" w:rsidR="00005EBC" w:rsidRPr="0035332B" w:rsidRDefault="00005EBC" w:rsidP="0035332B">
      <w:pPr>
        <w:pStyle w:val="ListParagraph"/>
        <w:rPr>
          <w:rFonts w:asciiTheme="majorHAnsi" w:hAnsiTheme="majorHAnsi"/>
        </w:rPr>
      </w:pPr>
    </w:p>
    <w:p w14:paraId="6DA8A35B" w14:textId="77777777" w:rsidR="006D2BF1" w:rsidRPr="0035332B" w:rsidRDefault="00005EBC" w:rsidP="0035332B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6D2BF1">
        <w:rPr>
          <w:rFonts w:asciiTheme="majorHAnsi" w:hAnsiTheme="majorHAnsi"/>
          <w:b/>
          <w:u w:val="single"/>
        </w:rPr>
        <w:t>Service Plans</w:t>
      </w:r>
      <w:r>
        <w:rPr>
          <w:rFonts w:asciiTheme="majorHAnsi" w:hAnsiTheme="majorHAnsi"/>
          <w:b/>
          <w:u w:val="single"/>
        </w:rPr>
        <w:t>*</w:t>
      </w:r>
      <w:r>
        <w:rPr>
          <w:rFonts w:asciiTheme="majorHAnsi" w:hAnsiTheme="majorHAnsi"/>
        </w:rPr>
        <w:t xml:space="preserve"> - </w:t>
      </w:r>
      <w:r w:rsidR="006D2BF1">
        <w:rPr>
          <w:rFonts w:asciiTheme="majorHAnsi" w:hAnsiTheme="majorHAnsi"/>
        </w:rPr>
        <w:t>Documentation that s</w:t>
      </w:r>
      <w:r w:rsidRPr="006D2BF1">
        <w:rPr>
          <w:rFonts w:asciiTheme="majorHAnsi" w:hAnsiTheme="majorHAnsi"/>
        </w:rPr>
        <w:t>ervice plans are completed within 60 days of project entry, are updated at least every 6 months and are signed by the direct service staff person, the participant and a supervisor</w:t>
      </w:r>
      <w:r w:rsidR="006D2BF1">
        <w:rPr>
          <w:rFonts w:asciiTheme="majorHAnsi" w:hAnsiTheme="majorHAnsi"/>
        </w:rPr>
        <w:t>; p</w:t>
      </w:r>
      <w:r w:rsidRPr="006D2BF1">
        <w:rPr>
          <w:rFonts w:asciiTheme="majorHAnsi" w:hAnsiTheme="majorHAnsi"/>
        </w:rPr>
        <w:t xml:space="preserve">lans include specific and measurable action steps </w:t>
      </w:r>
      <w:r w:rsidRPr="006D2BF1">
        <w:rPr>
          <w:rFonts w:asciiTheme="majorHAnsi" w:hAnsiTheme="majorHAnsi"/>
        </w:rPr>
        <w:lastRenderedPageBreak/>
        <w:t>and indicate who is responsible for each action</w:t>
      </w:r>
      <w:r w:rsidR="009811CC" w:rsidRPr="006D2BF1">
        <w:rPr>
          <w:rFonts w:asciiTheme="majorHAnsi" w:hAnsiTheme="majorHAnsi"/>
        </w:rPr>
        <w:t xml:space="preserve"> and when actions will occur</w:t>
      </w:r>
      <w:r w:rsidR="006D2BF1">
        <w:rPr>
          <w:rFonts w:asciiTheme="majorHAnsi" w:hAnsiTheme="majorHAnsi"/>
        </w:rPr>
        <w:t>; g</w:t>
      </w:r>
      <w:r w:rsidR="009811CC" w:rsidRPr="006D2BF1">
        <w:rPr>
          <w:rFonts w:asciiTheme="majorHAnsi" w:hAnsiTheme="majorHAnsi"/>
        </w:rPr>
        <w:t>oals are individualized and person-centered.  Case notes document that assistance with advancing goals/objectives is regularly provided to participants.</w:t>
      </w:r>
      <w:r w:rsidR="006D2BF1">
        <w:rPr>
          <w:rFonts w:asciiTheme="majorHAnsi" w:hAnsiTheme="majorHAnsi"/>
        </w:rPr>
        <w:t xml:space="preserve"> </w:t>
      </w:r>
      <w:r w:rsidR="0035332B">
        <w:rPr>
          <w:rFonts w:asciiTheme="majorHAnsi" w:hAnsiTheme="majorHAnsi"/>
        </w:rPr>
        <w:t xml:space="preserve">Service Plans should be consistent with Housing First.  </w:t>
      </w:r>
      <w:r w:rsidR="006D2BF1" w:rsidRPr="0035332B">
        <w:rPr>
          <w:rFonts w:asciiTheme="majorHAnsi" w:hAnsiTheme="majorHAnsi"/>
        </w:rPr>
        <w:t>Supportive Housing Case Management Tools (including service planning forms) available at:</w:t>
      </w:r>
    </w:p>
    <w:p w14:paraId="798FD7B6" w14:textId="77777777" w:rsidR="00005EBC" w:rsidRPr="006D2BF1" w:rsidRDefault="00D1550F" w:rsidP="006D2BF1">
      <w:pPr>
        <w:pStyle w:val="ListParagraph"/>
        <w:spacing w:after="200" w:line="276" w:lineRule="auto"/>
        <w:rPr>
          <w:rFonts w:asciiTheme="majorHAnsi" w:hAnsiTheme="majorHAnsi"/>
        </w:rPr>
      </w:pPr>
      <w:hyperlink r:id="rId17" w:history="1">
        <w:r w:rsidR="006D2BF1" w:rsidRPr="00C86951">
          <w:rPr>
            <w:rStyle w:val="Hyperlink"/>
            <w:rFonts w:asciiTheme="majorHAnsi" w:hAnsiTheme="majorHAnsi"/>
          </w:rPr>
          <w:t>https://www.csh.org/qualitytoolkit/</w:t>
        </w:r>
      </w:hyperlink>
      <w:r w:rsidR="006D2BF1">
        <w:rPr>
          <w:rFonts w:asciiTheme="majorHAnsi" w:hAnsiTheme="majorHAnsi"/>
        </w:rPr>
        <w:t xml:space="preserve">.  </w:t>
      </w:r>
    </w:p>
    <w:p w14:paraId="1E53527C" w14:textId="77777777" w:rsidR="001B55CA" w:rsidRPr="008B3DC0" w:rsidRDefault="001B55CA" w:rsidP="001B55CA">
      <w:pPr>
        <w:rPr>
          <w:rFonts w:asciiTheme="majorHAnsi" w:hAnsiTheme="majorHAnsi"/>
        </w:rPr>
      </w:pPr>
    </w:p>
    <w:p w14:paraId="7D903224" w14:textId="77777777" w:rsidR="008B1B1A" w:rsidRDefault="001B55CA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</w:rPr>
        <w:t xml:space="preserve"> </w:t>
      </w:r>
      <w:r w:rsidRPr="008B3DC0">
        <w:rPr>
          <w:rFonts w:asciiTheme="majorHAnsi" w:hAnsiTheme="majorHAnsi"/>
          <w:b/>
          <w:u w:val="single"/>
        </w:rPr>
        <w:t>Provisions of Services</w:t>
      </w:r>
      <w:r w:rsidRPr="006D2BF1">
        <w:rPr>
          <w:rFonts w:asciiTheme="majorHAnsi" w:hAnsiTheme="majorHAnsi"/>
          <w:b/>
        </w:rPr>
        <w:t xml:space="preserve"> </w:t>
      </w:r>
      <w:r w:rsidR="00962868" w:rsidRPr="006D2BF1">
        <w:rPr>
          <w:rFonts w:asciiTheme="majorHAnsi" w:hAnsiTheme="majorHAnsi"/>
          <w:b/>
        </w:rPr>
        <w:t>-</w:t>
      </w:r>
      <w:r w:rsidR="00962868" w:rsidRPr="008B3DC0">
        <w:rPr>
          <w:rFonts w:asciiTheme="majorHAnsi" w:hAnsiTheme="majorHAnsi"/>
          <w:b/>
        </w:rPr>
        <w:t xml:space="preserve"> </w:t>
      </w:r>
      <w:r w:rsidR="00962868" w:rsidRPr="006D2BF1">
        <w:rPr>
          <w:rFonts w:asciiTheme="majorHAnsi" w:hAnsiTheme="majorHAnsi"/>
        </w:rPr>
        <w:t>Evidence</w:t>
      </w:r>
      <w:r w:rsidRPr="008B3DC0">
        <w:rPr>
          <w:rFonts w:asciiTheme="majorHAnsi" w:hAnsiTheme="majorHAnsi"/>
        </w:rPr>
        <w:t xml:space="preserve"> </w:t>
      </w:r>
      <w:r w:rsidR="00B6624F" w:rsidRPr="008B3DC0">
        <w:rPr>
          <w:rFonts w:asciiTheme="majorHAnsi" w:hAnsiTheme="majorHAnsi"/>
        </w:rPr>
        <w:t>(e.g. case notes)</w:t>
      </w:r>
      <w:r w:rsidR="00B6624F">
        <w:rPr>
          <w:rFonts w:asciiTheme="majorHAnsi" w:hAnsiTheme="majorHAnsi"/>
        </w:rPr>
        <w:t xml:space="preserve"> </w:t>
      </w:r>
      <w:r w:rsidRPr="008B3DC0">
        <w:rPr>
          <w:rFonts w:asciiTheme="majorHAnsi" w:hAnsiTheme="majorHAnsi"/>
        </w:rPr>
        <w:t>that</w:t>
      </w:r>
      <w:r w:rsidRPr="008B3DC0">
        <w:rPr>
          <w:rFonts w:asciiTheme="majorHAnsi" w:hAnsiTheme="majorHAnsi"/>
          <w:b/>
        </w:rPr>
        <w:t xml:space="preserve"> </w:t>
      </w:r>
      <w:r w:rsidRPr="008B3DC0">
        <w:rPr>
          <w:rFonts w:asciiTheme="majorHAnsi" w:hAnsiTheme="majorHAnsi"/>
        </w:rPr>
        <w:t>the grantee made supportive services available to meet the needs of program participants</w:t>
      </w:r>
      <w:r w:rsidR="001B0F3B">
        <w:rPr>
          <w:rFonts w:asciiTheme="majorHAnsi" w:hAnsiTheme="majorHAnsi"/>
        </w:rPr>
        <w:t>, making regular attempts, using a variety of contact methods</w:t>
      </w:r>
      <w:r w:rsidR="006D2BF1">
        <w:rPr>
          <w:rFonts w:asciiTheme="majorHAnsi" w:hAnsiTheme="majorHAnsi"/>
        </w:rPr>
        <w:t>*</w:t>
      </w:r>
      <w:r w:rsidR="001B0F3B">
        <w:rPr>
          <w:rFonts w:asciiTheme="majorHAnsi" w:hAnsiTheme="majorHAnsi"/>
        </w:rPr>
        <w:t xml:space="preserve"> to engage clients</w:t>
      </w:r>
      <w:r w:rsidRPr="008B3DC0">
        <w:rPr>
          <w:rFonts w:asciiTheme="majorHAnsi" w:hAnsiTheme="majorHAnsi"/>
        </w:rPr>
        <w:t>.  Mus</w:t>
      </w:r>
      <w:r w:rsidR="00AA1E36" w:rsidRPr="008B3DC0">
        <w:rPr>
          <w:rFonts w:asciiTheme="majorHAnsi" w:hAnsiTheme="majorHAnsi"/>
        </w:rPr>
        <w:t>t include evidence of provision</w:t>
      </w:r>
      <w:r w:rsidRPr="008B3DC0">
        <w:rPr>
          <w:rFonts w:asciiTheme="majorHAnsi" w:hAnsiTheme="majorHAnsi"/>
        </w:rPr>
        <w:t xml:space="preserve"> of case management services at least monthly for RRH.</w:t>
      </w:r>
      <w:r w:rsidR="0049126F">
        <w:rPr>
          <w:rFonts w:asciiTheme="majorHAnsi" w:hAnsiTheme="majorHAnsi"/>
        </w:rPr>
        <w:t xml:space="preserve"> </w:t>
      </w:r>
      <w:r w:rsidR="006035B1">
        <w:rPr>
          <w:rFonts w:asciiTheme="majorHAnsi" w:hAnsiTheme="majorHAnsi"/>
        </w:rPr>
        <w:t xml:space="preserve">For other types of projects, frequency of services should be commensurate with participant needs and, typically, not be less frequent than every 2 weeks.  </w:t>
      </w:r>
      <w:r w:rsidR="0035332B">
        <w:rPr>
          <w:rFonts w:asciiTheme="majorHAnsi" w:hAnsiTheme="majorHAnsi"/>
        </w:rPr>
        <w:t>C</w:t>
      </w:r>
      <w:r w:rsidR="0049126F">
        <w:rPr>
          <w:rFonts w:asciiTheme="majorHAnsi" w:hAnsiTheme="majorHAnsi"/>
        </w:rPr>
        <w:t xml:space="preserve">ase notes </w:t>
      </w:r>
      <w:r w:rsidR="0035332B">
        <w:rPr>
          <w:rFonts w:asciiTheme="majorHAnsi" w:hAnsiTheme="majorHAnsi"/>
        </w:rPr>
        <w:t xml:space="preserve">and other documentation </w:t>
      </w:r>
      <w:r w:rsidR="0049126F">
        <w:rPr>
          <w:rFonts w:asciiTheme="majorHAnsi" w:hAnsiTheme="majorHAnsi"/>
        </w:rPr>
        <w:t xml:space="preserve">should be consistent with Housing First. </w:t>
      </w:r>
    </w:p>
    <w:p w14:paraId="1FE079C7" w14:textId="77777777" w:rsidR="006D2BF1" w:rsidRPr="008B3DC0" w:rsidRDefault="006D2BF1" w:rsidP="006D2BF1">
      <w:pPr>
        <w:pStyle w:val="ListParagraph"/>
        <w:rPr>
          <w:rFonts w:asciiTheme="majorHAnsi" w:hAnsiTheme="majorHAnsi"/>
        </w:rPr>
      </w:pPr>
    </w:p>
    <w:p w14:paraId="01AC93F3" w14:textId="77777777" w:rsidR="001B55CA" w:rsidRPr="008B3DC0" w:rsidRDefault="001B55CA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8B3DC0">
        <w:rPr>
          <w:rFonts w:asciiTheme="majorHAnsi" w:hAnsiTheme="majorHAnsi"/>
          <w:b/>
          <w:u w:val="single"/>
        </w:rPr>
        <w:t>Releases -</w:t>
      </w:r>
      <w:r w:rsidRPr="008B3DC0">
        <w:rPr>
          <w:rFonts w:asciiTheme="majorHAnsi" w:hAnsiTheme="majorHAnsi"/>
        </w:rPr>
        <w:t xml:space="preserve"> Information sharing evidenced in charts is authorized by a current release of information signed by the participant.</w:t>
      </w:r>
      <w:r w:rsidR="006D2BF1">
        <w:rPr>
          <w:rFonts w:asciiTheme="majorHAnsi" w:hAnsiTheme="majorHAnsi"/>
        </w:rPr>
        <w:t xml:space="preserve">  Unless the chart documents that participant has declined authorization to enter information into HMIS, all charts should include a current HMIS release.</w:t>
      </w:r>
      <w:r w:rsidRPr="008B3DC0">
        <w:rPr>
          <w:rFonts w:asciiTheme="majorHAnsi" w:hAnsiTheme="majorHAnsi"/>
        </w:rPr>
        <w:tab/>
      </w:r>
    </w:p>
    <w:p w14:paraId="54B47DC9" w14:textId="77777777" w:rsidR="008B3DC0" w:rsidRPr="008B3DC0" w:rsidRDefault="008B3DC0" w:rsidP="008B3DC0">
      <w:pPr>
        <w:rPr>
          <w:rFonts w:asciiTheme="majorHAnsi" w:hAnsiTheme="majorHAnsi"/>
        </w:rPr>
      </w:pPr>
    </w:p>
    <w:p w14:paraId="2B4A5DD1" w14:textId="0AA6E93C" w:rsidR="00833F1C" w:rsidRPr="009F0D54" w:rsidRDefault="008B3DC0" w:rsidP="006D2BF1">
      <w:pPr>
        <w:pStyle w:val="ListParagraph"/>
        <w:numPr>
          <w:ilvl w:val="0"/>
          <w:numId w:val="1"/>
        </w:numPr>
        <w:rPr>
          <w:rStyle w:val="Hyperlink"/>
          <w:rFonts w:asciiTheme="majorHAnsi" w:hAnsiTheme="majorHAnsi"/>
          <w:b/>
        </w:rPr>
      </w:pPr>
      <w:r w:rsidRPr="008B3DC0">
        <w:rPr>
          <w:rFonts w:asciiTheme="majorHAnsi" w:hAnsiTheme="majorHAnsi"/>
          <w:b/>
          <w:u w:val="single"/>
        </w:rPr>
        <w:t>Participant/Applicant Bill of Rights-</w:t>
      </w:r>
      <w:r w:rsidRPr="008B3DC0">
        <w:rPr>
          <w:rFonts w:asciiTheme="majorHAnsi" w:hAnsiTheme="majorHAnsi"/>
        </w:rPr>
        <w:t xml:space="preserve"> All participants/applicants should </w:t>
      </w:r>
      <w:r w:rsidRPr="008B3DC0">
        <w:rPr>
          <w:rFonts w:asciiTheme="majorHAnsi" w:hAnsiTheme="majorHAnsi" w:cs="Arial"/>
        </w:rPr>
        <w:t xml:space="preserve">sign </w:t>
      </w:r>
      <w:r w:rsidRPr="009F0D54">
        <w:rPr>
          <w:rFonts w:asciiTheme="majorHAnsi" w:hAnsiTheme="majorHAnsi" w:cs="Arial"/>
        </w:rPr>
        <w:t xml:space="preserve">the </w:t>
      </w:r>
      <w:r w:rsidR="005A54F6" w:rsidRPr="009F0D54">
        <w:rPr>
          <w:rFonts w:asciiTheme="majorHAnsi" w:hAnsiTheme="majorHAnsi" w:cs="Arial"/>
        </w:rPr>
        <w:t xml:space="preserve">Bill of </w:t>
      </w:r>
      <w:r w:rsidR="009F0D54" w:rsidRPr="009F0D54">
        <w:rPr>
          <w:rFonts w:asciiTheme="majorHAnsi" w:hAnsiTheme="majorHAnsi" w:cs="Arial"/>
        </w:rPr>
        <w:t xml:space="preserve">Rights </w:t>
      </w:r>
      <w:r w:rsidR="009F0D54" w:rsidRPr="008B3DC0">
        <w:rPr>
          <w:rFonts w:asciiTheme="majorHAnsi" w:hAnsiTheme="majorHAnsi" w:cs="Arial"/>
        </w:rPr>
        <w:t>to</w:t>
      </w:r>
      <w:r w:rsidRPr="008B3DC0">
        <w:rPr>
          <w:rFonts w:asciiTheme="majorHAnsi" w:hAnsiTheme="majorHAnsi" w:cs="Arial"/>
        </w:rPr>
        <w:t xml:space="preserve"> indicate that they received a copy of </w:t>
      </w:r>
      <w:r w:rsidR="005A54F6">
        <w:rPr>
          <w:rFonts w:asciiTheme="majorHAnsi" w:hAnsiTheme="majorHAnsi" w:cs="Arial"/>
        </w:rPr>
        <w:t>the form</w:t>
      </w:r>
      <w:r w:rsidRPr="008B3DC0">
        <w:rPr>
          <w:rFonts w:asciiTheme="majorHAnsi" w:hAnsiTheme="majorHAnsi" w:cs="Arial"/>
        </w:rPr>
        <w:t xml:space="preserve"> and that someone helped them to review. </w:t>
      </w:r>
      <w:r w:rsidR="009F0D54">
        <w:rPr>
          <w:rFonts w:asciiTheme="majorHAnsi" w:hAnsiTheme="majorHAnsi" w:cs="Arial"/>
        </w:rPr>
        <w:t xml:space="preserve"> Form available at:  </w:t>
      </w:r>
      <w:r w:rsidRPr="008B3DC0">
        <w:rPr>
          <w:rFonts w:asciiTheme="majorHAnsi" w:hAnsiTheme="majorHAnsi" w:cs="Arial"/>
        </w:rPr>
        <w:t xml:space="preserve"> </w:t>
      </w:r>
      <w:r w:rsidR="009F0D54">
        <w:rPr>
          <w:rFonts w:asciiTheme="majorHAnsi" w:hAnsiTheme="majorHAnsi" w:cs="Arial"/>
        </w:rPr>
        <w:fldChar w:fldCharType="begin"/>
      </w:r>
      <w:r w:rsidR="009F0D54">
        <w:rPr>
          <w:rFonts w:asciiTheme="majorHAnsi" w:hAnsiTheme="majorHAnsi" w:cs="Arial"/>
        </w:rPr>
        <w:instrText xml:space="preserve"> HYPERLINK "http://www.ctbos.org/wp-content/uploads/2017/04/CT-BOS-Client-Bill-of-Rights-Adopted-4-22-2016.docx" </w:instrText>
      </w:r>
      <w:r w:rsidR="009F0D54">
        <w:rPr>
          <w:rFonts w:asciiTheme="majorHAnsi" w:hAnsiTheme="majorHAnsi" w:cs="Arial"/>
        </w:rPr>
        <w:fldChar w:fldCharType="separate"/>
      </w:r>
      <w:r w:rsidR="009F0D54" w:rsidRPr="009F0D54">
        <w:rPr>
          <w:rStyle w:val="Hyperlink"/>
          <w:rFonts w:asciiTheme="majorHAnsi" w:hAnsiTheme="majorHAnsi" w:cs="Arial"/>
        </w:rPr>
        <w:t>http://www.ctbos.org/wp-content/uploads/2017/04/CT-BOS-Client-Bill-of-Rights-Adopted-4-22-2016.docx</w:t>
      </w:r>
    </w:p>
    <w:p w14:paraId="5EFDE494" w14:textId="5E68C678" w:rsidR="00833F1C" w:rsidRPr="00833F1C" w:rsidRDefault="009F0D54" w:rsidP="00833F1C">
      <w:pPr>
        <w:rPr>
          <w:rFonts w:asciiTheme="majorHAnsi" w:hAnsiTheme="majorHAnsi"/>
          <w:b/>
          <w:u w:val="single"/>
        </w:rPr>
      </w:pPr>
      <w:r>
        <w:rPr>
          <w:rFonts w:asciiTheme="majorHAnsi" w:hAnsiTheme="majorHAnsi" w:cs="Arial"/>
        </w:rPr>
        <w:fldChar w:fldCharType="end"/>
      </w:r>
    </w:p>
    <w:p w14:paraId="4D36F0CF" w14:textId="77777777" w:rsidR="00833F1C" w:rsidRDefault="00833F1C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>
        <w:rPr>
          <w:rFonts w:asciiTheme="majorHAnsi" w:hAnsiTheme="majorHAnsi"/>
          <w:b/>
          <w:u w:val="single"/>
        </w:rPr>
        <w:t>Application Records</w:t>
      </w:r>
      <w:r w:rsidRPr="00833F1C">
        <w:rPr>
          <w:rFonts w:asciiTheme="majorHAnsi" w:hAnsiTheme="majorHAnsi"/>
          <w:b/>
        </w:rPr>
        <w:t xml:space="preserve"> </w:t>
      </w:r>
      <w:r w:rsidR="00005EBC" w:rsidRPr="00833F1C">
        <w:rPr>
          <w:rFonts w:asciiTheme="majorHAnsi" w:hAnsiTheme="majorHAnsi"/>
          <w:b/>
        </w:rPr>
        <w:t xml:space="preserve">- </w:t>
      </w:r>
      <w:r w:rsidR="00005EBC" w:rsidRPr="006D2BF1">
        <w:rPr>
          <w:rFonts w:asciiTheme="majorHAnsi" w:hAnsiTheme="majorHAnsi"/>
        </w:rPr>
        <w:t>Retain</w:t>
      </w:r>
      <w:r w:rsidRPr="00833F1C">
        <w:rPr>
          <w:rFonts w:asciiTheme="majorHAnsi" w:hAnsiTheme="majorHAnsi"/>
        </w:rPr>
        <w:t xml:space="preserve"> all application records, including outcome and reason for denial</w:t>
      </w:r>
      <w:r w:rsidR="006D2BF1">
        <w:rPr>
          <w:rFonts w:asciiTheme="majorHAnsi" w:hAnsiTheme="majorHAnsi"/>
        </w:rPr>
        <w:t>.</w:t>
      </w:r>
    </w:p>
    <w:p w14:paraId="4FC11661" w14:textId="77777777" w:rsidR="0049126F" w:rsidRPr="00833F1C" w:rsidRDefault="0049126F" w:rsidP="0049126F">
      <w:pPr>
        <w:pStyle w:val="ListParagraph"/>
        <w:rPr>
          <w:rFonts w:asciiTheme="majorHAnsi" w:hAnsiTheme="majorHAnsi"/>
        </w:rPr>
      </w:pPr>
    </w:p>
    <w:p w14:paraId="3D8477A2" w14:textId="25FC0A6A" w:rsidR="00CF6F13" w:rsidRPr="00AB26F6" w:rsidRDefault="00833F1C" w:rsidP="00AB26F6">
      <w:pPr>
        <w:pStyle w:val="ListParagraph"/>
        <w:numPr>
          <w:ilvl w:val="0"/>
          <w:numId w:val="1"/>
        </w:numPr>
        <w:rPr>
          <w:rFonts w:asciiTheme="majorHAnsi" w:hAnsiTheme="majorHAnsi"/>
          <w:color w:val="0000FF" w:themeColor="hyperlink"/>
          <w:u w:val="single"/>
        </w:rPr>
      </w:pPr>
      <w:r w:rsidRPr="00231CFA">
        <w:rPr>
          <w:rFonts w:asciiTheme="majorHAnsi" w:hAnsiTheme="majorHAnsi"/>
          <w:b/>
          <w:u w:val="single"/>
        </w:rPr>
        <w:t xml:space="preserve">VAWA </w:t>
      </w:r>
      <w:r w:rsidR="00005EBC" w:rsidRPr="006D2BF1">
        <w:rPr>
          <w:rFonts w:asciiTheme="majorHAnsi" w:hAnsiTheme="majorHAnsi"/>
          <w:b/>
        </w:rPr>
        <w:t xml:space="preserve">– </w:t>
      </w:r>
      <w:r w:rsidR="00005EBC" w:rsidRPr="006D2BF1">
        <w:rPr>
          <w:rFonts w:asciiTheme="majorHAnsi" w:hAnsiTheme="majorHAnsi"/>
        </w:rPr>
        <w:t>Retain</w:t>
      </w:r>
      <w:r w:rsidRPr="006D2BF1">
        <w:rPr>
          <w:rFonts w:asciiTheme="majorHAnsi" w:hAnsiTheme="majorHAnsi"/>
        </w:rPr>
        <w:t xml:space="preserve"> </w:t>
      </w:r>
      <w:r w:rsidRPr="00231CFA">
        <w:rPr>
          <w:rFonts w:asciiTheme="majorHAnsi" w:hAnsiTheme="majorHAnsi"/>
        </w:rPr>
        <w:t>evidence that you provided the Notice of Occupancy Rights</w:t>
      </w:r>
      <w:r w:rsidR="005C3F0C">
        <w:rPr>
          <w:rFonts w:asciiTheme="majorHAnsi" w:hAnsiTheme="majorHAnsi"/>
        </w:rPr>
        <w:t xml:space="preserve"> (must be provided when individuals are applying for PH and TH)</w:t>
      </w:r>
      <w:r w:rsidRPr="00231CFA">
        <w:rPr>
          <w:rFonts w:asciiTheme="majorHAnsi" w:hAnsiTheme="majorHAnsi"/>
        </w:rPr>
        <w:t xml:space="preserve"> and Incident Certification Form to each adult tenant and applicant. </w:t>
      </w:r>
      <w:r w:rsidR="005C3F0C">
        <w:rPr>
          <w:rFonts w:asciiTheme="majorHAnsi" w:hAnsiTheme="majorHAnsi"/>
        </w:rPr>
        <w:t xml:space="preserve"> Both forms must also be provided at each of the following times:  a) when a household is denied PSH, RRH or TH; b) when a program participant is admitted to PSH, RRH or TH; c) when a program participant receives notification of eviction; and d) when a program participant is notified of termination of assistance.  </w:t>
      </w:r>
      <w:r w:rsidRPr="00231CFA">
        <w:rPr>
          <w:rFonts w:asciiTheme="majorHAnsi" w:hAnsiTheme="majorHAnsi"/>
        </w:rPr>
        <w:t>Retain records for all emergency transfer requests and outcomes</w:t>
      </w:r>
      <w:r w:rsidR="0049126F" w:rsidRPr="00231CFA">
        <w:rPr>
          <w:rFonts w:asciiTheme="majorHAnsi" w:hAnsiTheme="majorHAnsi"/>
        </w:rPr>
        <w:t xml:space="preserve">.  </w:t>
      </w:r>
      <w:r w:rsidR="00C432C1">
        <w:rPr>
          <w:rFonts w:asciiTheme="majorHAnsi" w:hAnsiTheme="majorHAnsi"/>
        </w:rPr>
        <w:t xml:space="preserve">Forms HUD 5380 and HUD 5381 available at:  </w:t>
      </w:r>
      <w:hyperlink r:id="rId18" w:history="1">
        <w:r w:rsidR="00C432C1" w:rsidRPr="00C432C1">
          <w:rPr>
            <w:rStyle w:val="Hyperlink"/>
            <w:rFonts w:asciiTheme="majorHAnsi" w:hAnsiTheme="majorHAnsi"/>
          </w:rPr>
          <w:t>https://www.hud.gov/program_offices/administration/hudclips/forms/hud5a</w:t>
        </w:r>
      </w:hyperlink>
    </w:p>
    <w:p w14:paraId="1DEE4703" w14:textId="77777777" w:rsidR="00AB26F6" w:rsidRPr="00AB26F6" w:rsidRDefault="00AB26F6" w:rsidP="00AB26F6">
      <w:pPr>
        <w:pStyle w:val="ListParagraph"/>
      </w:pPr>
    </w:p>
    <w:p w14:paraId="59270AAA" w14:textId="77777777" w:rsidR="00AB26F6" w:rsidRDefault="00AB26F6" w:rsidP="00AB26F6">
      <w:pPr>
        <w:pStyle w:val="ListParagraph"/>
        <w:rPr>
          <w:rStyle w:val="Hyperlink"/>
          <w:rFonts w:asciiTheme="majorHAnsi" w:hAnsiTheme="majorHAnsi"/>
        </w:rPr>
      </w:pPr>
    </w:p>
    <w:p w14:paraId="49D10E06" w14:textId="77777777" w:rsidR="00231CFA" w:rsidRPr="006D2BF1" w:rsidRDefault="00231CFA" w:rsidP="006D2BF1">
      <w:pPr>
        <w:pStyle w:val="ListParagraph"/>
        <w:numPr>
          <w:ilvl w:val="0"/>
          <w:numId w:val="1"/>
        </w:numPr>
        <w:rPr>
          <w:rFonts w:asciiTheme="majorHAnsi" w:hAnsiTheme="majorHAnsi"/>
        </w:rPr>
      </w:pPr>
      <w:r w:rsidRPr="00231CFA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Pr="00231CFA">
        <w:rPr>
          <w:rFonts w:ascii="Calibri" w:hAnsi="Calibri" w:cs="Calibri"/>
          <w:b/>
          <w:u w:val="single"/>
        </w:rPr>
        <w:t>Moving-on from PSH</w:t>
      </w:r>
      <w:r w:rsidR="00B6624F">
        <w:rPr>
          <w:rFonts w:ascii="Calibri" w:hAnsi="Calibri" w:cs="Calibri"/>
          <w:b/>
          <w:u w:val="single"/>
        </w:rPr>
        <w:t>*</w:t>
      </w:r>
      <w:r w:rsidRPr="00231CFA">
        <w:rPr>
          <w:rFonts w:ascii="Calibri" w:hAnsi="Calibri" w:cs="Calibri"/>
        </w:rPr>
        <w:t xml:space="preserve"> </w:t>
      </w:r>
      <w:r w:rsidR="00005EBC" w:rsidRPr="00231CFA">
        <w:rPr>
          <w:rFonts w:ascii="Calibri" w:hAnsi="Calibri" w:cs="Calibri"/>
        </w:rPr>
        <w:t>-</w:t>
      </w:r>
      <w:r w:rsidR="00005EBC">
        <w:rPr>
          <w:rFonts w:ascii="Calibri" w:hAnsi="Calibri" w:cs="Calibri"/>
        </w:rPr>
        <w:t xml:space="preserve"> </w:t>
      </w:r>
      <w:r w:rsidR="00005EBC" w:rsidRPr="00620465">
        <w:rPr>
          <w:rFonts w:ascii="Calibri" w:hAnsi="Calibri" w:cs="Calibri"/>
        </w:rPr>
        <w:t>Evidence</w:t>
      </w:r>
      <w:r>
        <w:rPr>
          <w:rFonts w:ascii="Calibri" w:hAnsi="Calibri" w:cs="Calibri"/>
        </w:rPr>
        <w:t xml:space="preserve"> that p</w:t>
      </w:r>
      <w:r w:rsidRPr="00620465">
        <w:rPr>
          <w:rFonts w:ascii="Calibri" w:hAnsi="Calibri" w:cs="Calibri"/>
        </w:rPr>
        <w:t xml:space="preserve">roject assesses participants who have stabilized in housing for interest in and </w:t>
      </w:r>
      <w:proofErr w:type="gramStart"/>
      <w:r w:rsidRPr="00620465">
        <w:rPr>
          <w:rFonts w:ascii="Calibri" w:hAnsi="Calibri" w:cs="Calibri"/>
        </w:rPr>
        <w:t>provides assistance</w:t>
      </w:r>
      <w:proofErr w:type="gramEnd"/>
      <w:r w:rsidRPr="00620465">
        <w:rPr>
          <w:rFonts w:ascii="Calibri" w:hAnsi="Calibri" w:cs="Calibri"/>
        </w:rPr>
        <w:t xml:space="preserve"> with moving-on</w:t>
      </w:r>
      <w:r>
        <w:rPr>
          <w:rFonts w:ascii="Calibri" w:hAnsi="Calibri" w:cs="Calibri"/>
        </w:rPr>
        <w:t>.</w:t>
      </w:r>
    </w:p>
    <w:p w14:paraId="7413D617" w14:textId="77777777" w:rsidR="00CF6F13" w:rsidRDefault="00CF6F13" w:rsidP="00CF6F13">
      <w:pPr>
        <w:rPr>
          <w:rStyle w:val="Hyperlink"/>
          <w:rFonts w:asciiTheme="majorHAnsi" w:hAnsiTheme="majorHAnsi"/>
          <w:color w:val="auto"/>
          <w:u w:val="none"/>
        </w:rPr>
      </w:pPr>
    </w:p>
    <w:p w14:paraId="72545994" w14:textId="77777777" w:rsidR="007D411C" w:rsidRDefault="007D411C">
      <w:pPr>
        <w:rPr>
          <w:rStyle w:val="Hyperlink"/>
          <w:rFonts w:asciiTheme="majorHAnsi" w:hAnsiTheme="majorHAnsi"/>
          <w:b/>
          <w:color w:val="auto"/>
          <w:u w:val="none"/>
        </w:rPr>
      </w:pPr>
      <w:r>
        <w:rPr>
          <w:rStyle w:val="Hyperlink"/>
          <w:rFonts w:asciiTheme="majorHAnsi" w:hAnsiTheme="majorHAnsi"/>
          <w:b/>
          <w:color w:val="auto"/>
          <w:u w:val="none"/>
        </w:rPr>
        <w:br w:type="page"/>
      </w:r>
    </w:p>
    <w:p w14:paraId="38092F5C" w14:textId="08BDBEFB" w:rsidR="00CF6F13" w:rsidRPr="0035332B" w:rsidRDefault="00CF6F13" w:rsidP="00CF6F13">
      <w:pPr>
        <w:rPr>
          <w:rStyle w:val="Hyperlink"/>
          <w:rFonts w:asciiTheme="majorHAnsi" w:hAnsiTheme="majorHAnsi"/>
          <w:b/>
          <w:color w:val="auto"/>
          <w:u w:val="none"/>
        </w:rPr>
      </w:pPr>
      <w:r w:rsidRPr="0035332B">
        <w:rPr>
          <w:rStyle w:val="Hyperlink"/>
          <w:rFonts w:asciiTheme="majorHAnsi" w:hAnsiTheme="majorHAnsi"/>
          <w:b/>
          <w:color w:val="auto"/>
          <w:u w:val="none"/>
        </w:rPr>
        <w:lastRenderedPageBreak/>
        <w:t>DMHAS CoC RA additional requirements</w:t>
      </w:r>
    </w:p>
    <w:p w14:paraId="536AB1C4" w14:textId="77777777" w:rsidR="00D9770B" w:rsidRDefault="00CF6F13" w:rsidP="007B661C">
      <w:pPr>
        <w:pStyle w:val="ListParagraph"/>
        <w:numPr>
          <w:ilvl w:val="0"/>
          <w:numId w:val="13"/>
        </w:numPr>
        <w:ind w:left="720"/>
        <w:rPr>
          <w:rStyle w:val="Hyperlink"/>
          <w:rFonts w:asciiTheme="majorHAnsi" w:hAnsiTheme="majorHAnsi"/>
          <w:color w:val="auto"/>
          <w:u w:val="none"/>
        </w:rPr>
      </w:pPr>
      <w:r w:rsidRPr="0035332B">
        <w:rPr>
          <w:rStyle w:val="Hyperlink"/>
          <w:rFonts w:asciiTheme="majorHAnsi" w:hAnsiTheme="majorHAnsi"/>
          <w:b/>
          <w:color w:val="auto"/>
        </w:rPr>
        <w:t>Owner Assurances and HAP Contract</w:t>
      </w:r>
      <w:r w:rsidRPr="006D2BF1">
        <w:rPr>
          <w:rStyle w:val="Hyperlink"/>
          <w:rFonts w:asciiTheme="majorHAnsi" w:hAnsiTheme="majorHAnsi"/>
          <w:color w:val="auto"/>
          <w:u w:val="none"/>
        </w:rPr>
        <w:t xml:space="preserve"> –</w:t>
      </w:r>
      <w:r w:rsidR="00EB03C4" w:rsidRPr="006D2BF1">
        <w:rPr>
          <w:rStyle w:val="Hyperlink"/>
          <w:rFonts w:asciiTheme="majorHAnsi" w:hAnsiTheme="majorHAnsi"/>
          <w:color w:val="auto"/>
          <w:u w:val="none"/>
        </w:rPr>
        <w:t>HAP contract and Owner’s Assurance</w:t>
      </w:r>
      <w:r w:rsidR="006035B1">
        <w:rPr>
          <w:rStyle w:val="Hyperlink"/>
          <w:rFonts w:asciiTheme="majorHAnsi" w:hAnsiTheme="majorHAnsi"/>
          <w:color w:val="auto"/>
          <w:u w:val="none"/>
        </w:rPr>
        <w:t>s</w:t>
      </w:r>
      <w:r w:rsidR="00EB03C4" w:rsidRPr="006D2BF1">
        <w:rPr>
          <w:rStyle w:val="Hyperlink"/>
          <w:rFonts w:asciiTheme="majorHAnsi" w:hAnsiTheme="majorHAnsi"/>
          <w:color w:val="auto"/>
          <w:u w:val="none"/>
        </w:rPr>
        <w:t xml:space="preserve"> form</w:t>
      </w:r>
      <w:r w:rsidR="006D2BF1" w:rsidRPr="006D2BF1">
        <w:rPr>
          <w:rStyle w:val="Hyperlink"/>
          <w:rFonts w:asciiTheme="majorHAnsi" w:hAnsiTheme="majorHAnsi"/>
          <w:color w:val="auto"/>
          <w:u w:val="none"/>
        </w:rPr>
        <w:t>s</w:t>
      </w:r>
      <w:r w:rsidR="00EB03C4" w:rsidRPr="006D2BF1">
        <w:rPr>
          <w:rStyle w:val="Hyperlink"/>
          <w:rFonts w:asciiTheme="majorHAnsi" w:hAnsiTheme="majorHAnsi"/>
          <w:color w:val="auto"/>
          <w:u w:val="none"/>
        </w:rPr>
        <w:t xml:space="preserve"> </w:t>
      </w:r>
      <w:r w:rsidR="006D2BF1" w:rsidRPr="006D2BF1">
        <w:rPr>
          <w:rStyle w:val="Hyperlink"/>
          <w:rFonts w:asciiTheme="majorHAnsi" w:hAnsiTheme="majorHAnsi"/>
          <w:color w:val="auto"/>
          <w:u w:val="none"/>
        </w:rPr>
        <w:t>must</w:t>
      </w:r>
      <w:r w:rsidR="00EB03C4" w:rsidRPr="006D2BF1">
        <w:rPr>
          <w:rStyle w:val="Hyperlink"/>
          <w:rFonts w:asciiTheme="majorHAnsi" w:hAnsiTheme="majorHAnsi"/>
          <w:color w:val="auto"/>
          <w:u w:val="none"/>
        </w:rPr>
        <w:t xml:space="preserve"> also </w:t>
      </w:r>
      <w:r w:rsidR="006D2BF1" w:rsidRPr="006D2BF1">
        <w:rPr>
          <w:rStyle w:val="Hyperlink"/>
          <w:rFonts w:asciiTheme="majorHAnsi" w:hAnsiTheme="majorHAnsi"/>
          <w:color w:val="auto"/>
          <w:u w:val="none"/>
        </w:rPr>
        <w:t xml:space="preserve">be </w:t>
      </w:r>
      <w:r w:rsidR="00EB03C4" w:rsidRPr="006D2BF1">
        <w:rPr>
          <w:rStyle w:val="Hyperlink"/>
          <w:rFonts w:asciiTheme="majorHAnsi" w:hAnsiTheme="majorHAnsi"/>
          <w:color w:val="auto"/>
          <w:u w:val="none"/>
        </w:rPr>
        <w:t>executed at lease signing</w:t>
      </w:r>
      <w:r w:rsidR="006D2BF1">
        <w:rPr>
          <w:rStyle w:val="Hyperlink"/>
          <w:rFonts w:asciiTheme="majorHAnsi" w:hAnsiTheme="majorHAnsi"/>
          <w:color w:val="auto"/>
          <w:u w:val="none"/>
        </w:rPr>
        <w:t>.</w:t>
      </w:r>
    </w:p>
    <w:p w14:paraId="3F3281C6" w14:textId="77777777" w:rsidR="006D2BF1" w:rsidRPr="006D2BF1" w:rsidRDefault="006D2BF1" w:rsidP="006D2BF1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0FA94D0B" w14:textId="236E81DB" w:rsidR="00304E59" w:rsidRPr="006D2BF1" w:rsidRDefault="006D2BF1" w:rsidP="00304E59">
      <w:pPr>
        <w:pStyle w:val="ListParagraph"/>
        <w:numPr>
          <w:ilvl w:val="0"/>
          <w:numId w:val="13"/>
        </w:numPr>
        <w:ind w:left="720"/>
        <w:rPr>
          <w:rFonts w:ascii="Calibri" w:hAnsi="Calibri" w:cs="Calibri"/>
        </w:rPr>
      </w:pPr>
      <w:r>
        <w:rPr>
          <w:rStyle w:val="Hyperlink"/>
          <w:rFonts w:asciiTheme="majorHAnsi" w:hAnsiTheme="majorHAnsi"/>
          <w:b/>
          <w:color w:val="auto"/>
        </w:rPr>
        <w:t>Health and Safety Checklist</w:t>
      </w:r>
      <w:r w:rsidR="00CF6F13">
        <w:rPr>
          <w:rStyle w:val="Hyperlink"/>
          <w:rFonts w:asciiTheme="majorHAnsi" w:hAnsiTheme="majorHAnsi"/>
          <w:color w:val="auto"/>
          <w:u w:val="none"/>
        </w:rPr>
        <w:t>– In addition to HQS,</w:t>
      </w:r>
      <w:r w:rsidR="00CF6F13">
        <w:rPr>
          <w:rFonts w:asciiTheme="majorHAnsi" w:hAnsiTheme="majorHAnsi"/>
        </w:rPr>
        <w:t xml:space="preserve"> </w:t>
      </w:r>
      <w:r w:rsidR="006035B1">
        <w:rPr>
          <w:rFonts w:asciiTheme="majorHAnsi" w:hAnsiTheme="majorHAnsi"/>
        </w:rPr>
        <w:t xml:space="preserve">document </w:t>
      </w:r>
      <w:r>
        <w:rPr>
          <w:rFonts w:asciiTheme="majorHAnsi" w:hAnsiTheme="majorHAnsi"/>
        </w:rPr>
        <w:t xml:space="preserve">annual completion of the </w:t>
      </w:r>
      <w:r w:rsidR="00CF6F13" w:rsidRPr="00C432C1">
        <w:rPr>
          <w:rFonts w:asciiTheme="majorHAnsi" w:hAnsiTheme="majorHAnsi"/>
        </w:rPr>
        <w:t>Health and Safety Checklist</w:t>
      </w:r>
      <w:r w:rsidR="00CF6F13">
        <w:rPr>
          <w:rFonts w:asciiTheme="majorHAnsi" w:hAnsiTheme="majorHAnsi"/>
        </w:rPr>
        <w:t xml:space="preserve"> </w:t>
      </w:r>
      <w:r w:rsidR="0035332B">
        <w:rPr>
          <w:rFonts w:asciiTheme="majorHAnsi" w:hAnsiTheme="majorHAnsi"/>
        </w:rPr>
        <w:t>approximately six months following completion of HQS.  This results in 2 inspections annually (1 HQS and one using the Health and Safety Checklist) at approximately 6</w:t>
      </w:r>
      <w:r w:rsidR="006035B1">
        <w:rPr>
          <w:rFonts w:asciiTheme="majorHAnsi" w:hAnsiTheme="majorHAnsi"/>
        </w:rPr>
        <w:t>-</w:t>
      </w:r>
      <w:r w:rsidR="0035332B">
        <w:rPr>
          <w:rFonts w:asciiTheme="majorHAnsi" w:hAnsiTheme="majorHAnsi"/>
        </w:rPr>
        <w:t>month intervals.</w:t>
      </w:r>
      <w:r w:rsidR="00C432C1">
        <w:rPr>
          <w:rFonts w:asciiTheme="majorHAnsi" w:hAnsiTheme="majorHAnsi"/>
        </w:rPr>
        <w:t xml:space="preserve">  Form available at:  </w:t>
      </w:r>
      <w:hyperlink r:id="rId19" w:history="1">
        <w:r w:rsidR="00C432C1" w:rsidRPr="00C432C1">
          <w:rPr>
            <w:rStyle w:val="Hyperlink"/>
            <w:rFonts w:asciiTheme="majorHAnsi" w:hAnsiTheme="majorHAnsi"/>
          </w:rPr>
          <w:t>http://www.ctbos.org/wp-content/uploads/2019/01/General-Health-and-Safety-Checklist_Final-Updated-2018.12.19.doc</w:t>
        </w:r>
      </w:hyperlink>
    </w:p>
    <w:p w14:paraId="6CFD56BE" w14:textId="77777777" w:rsidR="00304E59" w:rsidRPr="006D2BF1" w:rsidRDefault="00304E59" w:rsidP="00304E59">
      <w:pPr>
        <w:pStyle w:val="ListParagraph"/>
        <w:rPr>
          <w:rFonts w:ascii="Calibri" w:hAnsi="Calibri" w:cs="Calibri"/>
        </w:rPr>
      </w:pPr>
    </w:p>
    <w:p w14:paraId="4DF59642" w14:textId="77777777" w:rsidR="006D2BF1" w:rsidRPr="006D2BF1" w:rsidRDefault="006D2BF1" w:rsidP="00304E59">
      <w:pPr>
        <w:pStyle w:val="ListParagraph"/>
        <w:numPr>
          <w:ilvl w:val="0"/>
          <w:numId w:val="13"/>
        </w:numPr>
        <w:ind w:left="720"/>
        <w:rPr>
          <w:rFonts w:ascii="Calibri" w:hAnsi="Calibri" w:cs="Calibri"/>
        </w:rPr>
      </w:pPr>
      <w:r w:rsidRPr="006D2BF1">
        <w:rPr>
          <w:rFonts w:ascii="Calibri" w:hAnsi="Calibri" w:cs="Calibri"/>
          <w:b/>
          <w:u w:val="single"/>
        </w:rPr>
        <w:t>Annual Recertification Letter</w:t>
      </w:r>
      <w:r w:rsidRPr="006D2BF1">
        <w:rPr>
          <w:rFonts w:ascii="Calibri" w:hAnsi="Calibri" w:cs="Calibri"/>
        </w:rPr>
        <w:t xml:space="preserve"> – Documentation that an annual recertification letter was sent to the participant 20-90 days before the effective date of the recertification.</w:t>
      </w:r>
    </w:p>
    <w:p w14:paraId="619236B8" w14:textId="77777777" w:rsidR="006D2BF1" w:rsidRPr="006D2BF1" w:rsidRDefault="006D2BF1" w:rsidP="006D2BF1">
      <w:pPr>
        <w:pStyle w:val="ListParagraph"/>
        <w:rPr>
          <w:rFonts w:asciiTheme="majorHAnsi" w:hAnsiTheme="majorHAnsi"/>
        </w:rPr>
      </w:pPr>
    </w:p>
    <w:p w14:paraId="414A1B64" w14:textId="77777777" w:rsidR="00304E59" w:rsidRPr="00304E59" w:rsidRDefault="006D2BF1" w:rsidP="00304E59">
      <w:pPr>
        <w:pStyle w:val="ListParagraph"/>
        <w:numPr>
          <w:ilvl w:val="0"/>
          <w:numId w:val="13"/>
        </w:numPr>
        <w:ind w:left="720"/>
        <w:rPr>
          <w:rFonts w:asciiTheme="majorHAnsi" w:hAnsiTheme="majorHAnsi"/>
        </w:rPr>
      </w:pPr>
      <w:r w:rsidRPr="006D2BF1">
        <w:rPr>
          <w:rFonts w:asciiTheme="majorHAnsi" w:hAnsiTheme="majorHAnsi"/>
          <w:b/>
          <w:u w:val="single"/>
        </w:rPr>
        <w:t>Notification of Termination Risk</w:t>
      </w:r>
      <w:r>
        <w:rPr>
          <w:rFonts w:asciiTheme="majorHAnsi" w:hAnsiTheme="majorHAnsi"/>
        </w:rPr>
        <w:t xml:space="preserve"> </w:t>
      </w:r>
      <w:r w:rsidR="0035332B">
        <w:rPr>
          <w:rFonts w:asciiTheme="majorHAnsi" w:hAnsiTheme="majorHAnsi"/>
        </w:rPr>
        <w:t>–</w:t>
      </w:r>
      <w:r>
        <w:rPr>
          <w:rFonts w:asciiTheme="majorHAnsi" w:hAnsiTheme="majorHAnsi"/>
        </w:rPr>
        <w:t xml:space="preserve"> </w:t>
      </w:r>
      <w:r w:rsidR="0035332B">
        <w:rPr>
          <w:rFonts w:asciiTheme="majorHAnsi" w:hAnsiTheme="majorHAnsi"/>
        </w:rPr>
        <w:t>Documentation that p</w:t>
      </w:r>
      <w:r w:rsidR="00304E59" w:rsidRPr="00304E59">
        <w:rPr>
          <w:rFonts w:asciiTheme="majorHAnsi" w:hAnsiTheme="majorHAnsi"/>
        </w:rPr>
        <w:t xml:space="preserve">rior to commencing </w:t>
      </w:r>
      <w:r w:rsidR="0035332B">
        <w:rPr>
          <w:rFonts w:asciiTheme="majorHAnsi" w:hAnsiTheme="majorHAnsi"/>
        </w:rPr>
        <w:t xml:space="preserve">a subsidy </w:t>
      </w:r>
      <w:r w:rsidR="00304E59" w:rsidRPr="00304E59">
        <w:rPr>
          <w:rFonts w:asciiTheme="majorHAnsi" w:hAnsiTheme="majorHAnsi"/>
        </w:rPr>
        <w:t xml:space="preserve">termination, </w:t>
      </w:r>
      <w:r w:rsidR="0035332B">
        <w:rPr>
          <w:rFonts w:asciiTheme="majorHAnsi" w:hAnsiTheme="majorHAnsi"/>
        </w:rPr>
        <w:t xml:space="preserve">the </w:t>
      </w:r>
      <w:r w:rsidR="00304E59" w:rsidRPr="00304E59">
        <w:rPr>
          <w:rFonts w:asciiTheme="majorHAnsi" w:hAnsiTheme="majorHAnsi"/>
        </w:rPr>
        <w:t xml:space="preserve">participant </w:t>
      </w:r>
      <w:r w:rsidR="0035332B">
        <w:rPr>
          <w:rFonts w:asciiTheme="majorHAnsi" w:hAnsiTheme="majorHAnsi"/>
        </w:rPr>
        <w:t xml:space="preserve">was notified </w:t>
      </w:r>
      <w:r w:rsidR="00304E59" w:rsidRPr="00304E59">
        <w:rPr>
          <w:rFonts w:asciiTheme="majorHAnsi" w:hAnsiTheme="majorHAnsi"/>
        </w:rPr>
        <w:t>in writing that subsidy is in jeopardy.</w:t>
      </w:r>
    </w:p>
    <w:p w14:paraId="5309B068" w14:textId="77777777" w:rsidR="00304E59" w:rsidRPr="00CF6F13" w:rsidRDefault="00304E59" w:rsidP="00304E59">
      <w:pPr>
        <w:pStyle w:val="ListParagraph"/>
        <w:rPr>
          <w:rStyle w:val="Hyperlink"/>
          <w:rFonts w:asciiTheme="majorHAnsi" w:hAnsiTheme="majorHAnsi"/>
          <w:color w:val="auto"/>
          <w:u w:val="none"/>
        </w:rPr>
      </w:pPr>
    </w:p>
    <w:p w14:paraId="35C160E5" w14:textId="77777777" w:rsidR="00231CFA" w:rsidRPr="00231CFA" w:rsidRDefault="00231CFA" w:rsidP="0049126F">
      <w:pPr>
        <w:pStyle w:val="ListParagraph"/>
        <w:rPr>
          <w:rFonts w:asciiTheme="majorHAnsi" w:hAnsiTheme="majorHAnsi"/>
        </w:rPr>
      </w:pPr>
    </w:p>
    <w:sectPr w:rsidR="00231CFA" w:rsidRPr="00231CFA" w:rsidSect="00D06C88">
      <w:headerReference w:type="even" r:id="rId20"/>
      <w:headerReference w:type="default" r:id="rId21"/>
      <w:footerReference w:type="even" r:id="rId22"/>
      <w:footerReference w:type="default" r:id="rId23"/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A6F1BFE" w14:textId="77777777" w:rsidR="00D1550F" w:rsidRDefault="00D1550F" w:rsidP="006F7826">
      <w:r>
        <w:separator/>
      </w:r>
    </w:p>
  </w:endnote>
  <w:endnote w:type="continuationSeparator" w:id="0">
    <w:p w14:paraId="4B9F1ADE" w14:textId="77777777" w:rsidR="00D1550F" w:rsidRDefault="00D1550F" w:rsidP="006F782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85465" w14:textId="77777777" w:rsidR="00833F1C" w:rsidRDefault="00833F1C" w:rsidP="00833F1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6FA973C" w14:textId="77777777" w:rsidR="00833F1C" w:rsidRDefault="00833F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4373487" w14:textId="77777777" w:rsidR="00D9770B" w:rsidRDefault="00D9770B" w:rsidP="00D9770B">
    <w:pPr>
      <w:pStyle w:val="Footer"/>
    </w:pPr>
    <w:r>
      <w:t>*</w:t>
    </w:r>
    <w:r w:rsidR="00304E59">
      <w:t xml:space="preserve">CT BOS </w:t>
    </w:r>
    <w:r>
      <w:t>Best Practice Recommendation</w:t>
    </w:r>
    <w:r w:rsidR="00962868">
      <w:t xml:space="preserve"> (not </w:t>
    </w:r>
    <w:r w:rsidR="00304E59">
      <w:t xml:space="preserve">a HUD </w:t>
    </w:r>
    <w:r w:rsidR="00962868">
      <w:t>requirement)</w:t>
    </w:r>
  </w:p>
  <w:p w14:paraId="74E6EBB1" w14:textId="77777777" w:rsidR="00833F1C" w:rsidRDefault="00833F1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EE30B40" w14:textId="77777777" w:rsidR="00D1550F" w:rsidRDefault="00D1550F" w:rsidP="006F7826">
      <w:r>
        <w:separator/>
      </w:r>
    </w:p>
  </w:footnote>
  <w:footnote w:type="continuationSeparator" w:id="0">
    <w:p w14:paraId="1D963A8D" w14:textId="77777777" w:rsidR="00D1550F" w:rsidRDefault="00D1550F" w:rsidP="006F782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Cambria" w:hAnsi="Cambria"/>
      </w:rPr>
      <w:alias w:val="Title"/>
      <w:id w:val="77547040"/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14:paraId="398A41F7" w14:textId="77777777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Participant Chart Monitoring Preparation Guidance</w:t>
        </w:r>
      </w:p>
    </w:sdtContent>
  </w:sdt>
  <w:sdt>
    <w:sdtPr>
      <w:rPr>
        <w:rFonts w:ascii="Cambria" w:hAnsi="Cambria"/>
      </w:rPr>
      <w:alias w:val="Date"/>
      <w:id w:val="77547044"/>
      <w:dataBinding w:prefixMappings="xmlns:ns0='http://schemas.microsoft.com/office/2006/coverPageProps'" w:xpath="/ns0:CoverPageProperties[1]/ns0:PublishDate[1]" w:storeItemID="{55AF091B-3C7A-41E3-B477-F2FDAA23CFDA}"/>
      <w:date w:fullDate="2017-10-26T00:00:00Z">
        <w:dateFormat w:val="MMMM d, yyyy"/>
        <w:lid w:val="en-US"/>
        <w:storeMappedDataAs w:val="dateTime"/>
        <w:calendar w:val="gregorian"/>
      </w:date>
    </w:sdtPr>
    <w:sdtEndPr/>
    <w:sdtContent>
      <w:p w14:paraId="081185AA" w14:textId="77777777" w:rsidR="00833F1C" w:rsidRPr="005E04E9" w:rsidRDefault="00D06C88">
        <w:pPr>
          <w:pStyle w:val="Header"/>
          <w:pBdr>
            <w:between w:val="single" w:sz="4" w:space="1" w:color="4F81BD" w:themeColor="accent1"/>
          </w:pBdr>
          <w:spacing w:line="276" w:lineRule="auto"/>
          <w:jc w:val="center"/>
          <w:rPr>
            <w:rFonts w:ascii="Cambria" w:hAnsi="Cambria"/>
          </w:rPr>
        </w:pPr>
        <w:r>
          <w:rPr>
            <w:rFonts w:ascii="Cambria" w:hAnsi="Cambria"/>
          </w:rPr>
          <w:t>October 26, 2017</w:t>
        </w:r>
      </w:p>
    </w:sdtContent>
  </w:sdt>
  <w:p w14:paraId="23417193" w14:textId="77777777" w:rsidR="00833F1C" w:rsidRDefault="00833F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B0E75" w14:textId="77777777" w:rsidR="00D06C88" w:rsidRDefault="00D06C88">
    <w:pPr>
      <w:pStyle w:val="Header"/>
    </w:pPr>
    <w:r w:rsidRPr="00D06C88">
      <w:rPr>
        <w:noProof/>
      </w:rPr>
      <w:drawing>
        <wp:inline distT="0" distB="0" distL="0" distR="0" wp14:anchorId="06F54413" wp14:editId="0A413032">
          <wp:extent cx="5943600" cy="593042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59304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3361B"/>
    <w:multiLevelType w:val="hybridMultilevel"/>
    <w:tmpl w:val="C504B4C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4A4366F"/>
    <w:multiLevelType w:val="hybridMultilevel"/>
    <w:tmpl w:val="DFF8C4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138C0DA1"/>
    <w:multiLevelType w:val="hybridMultilevel"/>
    <w:tmpl w:val="284C2F94"/>
    <w:lvl w:ilvl="0" w:tplc="9738D4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850A9C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F081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90043F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673E553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426FCA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174F15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5A0B36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BB8EEE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18A40B8D"/>
    <w:multiLevelType w:val="hybridMultilevel"/>
    <w:tmpl w:val="8A66CC00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10C7052"/>
    <w:multiLevelType w:val="hybridMultilevel"/>
    <w:tmpl w:val="A5E26F62"/>
    <w:lvl w:ilvl="0" w:tplc="0409000F">
      <w:start w:val="1"/>
      <w:numFmt w:val="decimal"/>
      <w:lvlText w:val="%1."/>
      <w:lvlJc w:val="left"/>
      <w:pPr>
        <w:ind w:left="1446" w:hanging="360"/>
      </w:pPr>
    </w:lvl>
    <w:lvl w:ilvl="1" w:tplc="04090019" w:tentative="1">
      <w:start w:val="1"/>
      <w:numFmt w:val="lowerLetter"/>
      <w:lvlText w:val="%2."/>
      <w:lvlJc w:val="left"/>
      <w:pPr>
        <w:ind w:left="2166" w:hanging="360"/>
      </w:pPr>
    </w:lvl>
    <w:lvl w:ilvl="2" w:tplc="0409001B" w:tentative="1">
      <w:start w:val="1"/>
      <w:numFmt w:val="lowerRoman"/>
      <w:lvlText w:val="%3."/>
      <w:lvlJc w:val="right"/>
      <w:pPr>
        <w:ind w:left="2886" w:hanging="180"/>
      </w:pPr>
    </w:lvl>
    <w:lvl w:ilvl="3" w:tplc="0409000F" w:tentative="1">
      <w:start w:val="1"/>
      <w:numFmt w:val="decimal"/>
      <w:lvlText w:val="%4."/>
      <w:lvlJc w:val="left"/>
      <w:pPr>
        <w:ind w:left="3606" w:hanging="360"/>
      </w:pPr>
    </w:lvl>
    <w:lvl w:ilvl="4" w:tplc="04090019" w:tentative="1">
      <w:start w:val="1"/>
      <w:numFmt w:val="lowerLetter"/>
      <w:lvlText w:val="%5."/>
      <w:lvlJc w:val="left"/>
      <w:pPr>
        <w:ind w:left="4326" w:hanging="360"/>
      </w:pPr>
    </w:lvl>
    <w:lvl w:ilvl="5" w:tplc="0409001B" w:tentative="1">
      <w:start w:val="1"/>
      <w:numFmt w:val="lowerRoman"/>
      <w:lvlText w:val="%6."/>
      <w:lvlJc w:val="right"/>
      <w:pPr>
        <w:ind w:left="5046" w:hanging="180"/>
      </w:pPr>
    </w:lvl>
    <w:lvl w:ilvl="6" w:tplc="0409000F" w:tentative="1">
      <w:start w:val="1"/>
      <w:numFmt w:val="decimal"/>
      <w:lvlText w:val="%7."/>
      <w:lvlJc w:val="left"/>
      <w:pPr>
        <w:ind w:left="5766" w:hanging="360"/>
      </w:pPr>
    </w:lvl>
    <w:lvl w:ilvl="7" w:tplc="04090019" w:tentative="1">
      <w:start w:val="1"/>
      <w:numFmt w:val="lowerLetter"/>
      <w:lvlText w:val="%8."/>
      <w:lvlJc w:val="left"/>
      <w:pPr>
        <w:ind w:left="6486" w:hanging="360"/>
      </w:pPr>
    </w:lvl>
    <w:lvl w:ilvl="8" w:tplc="0409001B" w:tentative="1">
      <w:start w:val="1"/>
      <w:numFmt w:val="lowerRoman"/>
      <w:lvlText w:val="%9."/>
      <w:lvlJc w:val="right"/>
      <w:pPr>
        <w:ind w:left="7206" w:hanging="180"/>
      </w:pPr>
    </w:lvl>
  </w:abstractNum>
  <w:abstractNum w:abstractNumId="5" w15:restartNumberingAfterBreak="0">
    <w:nsid w:val="2C01561B"/>
    <w:multiLevelType w:val="hybridMultilevel"/>
    <w:tmpl w:val="0BCE25F4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28F4B1A"/>
    <w:multiLevelType w:val="hybridMultilevel"/>
    <w:tmpl w:val="B75A8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B3118E"/>
    <w:multiLevelType w:val="hybridMultilevel"/>
    <w:tmpl w:val="6292D4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B2C4F64"/>
    <w:multiLevelType w:val="hybridMultilevel"/>
    <w:tmpl w:val="C840D370"/>
    <w:lvl w:ilvl="0" w:tplc="4DDAF522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5F1618F"/>
    <w:multiLevelType w:val="hybridMultilevel"/>
    <w:tmpl w:val="94120DAC"/>
    <w:lvl w:ilvl="0" w:tplc="EB36100A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  <w:color w:val="auto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A8A5769"/>
    <w:multiLevelType w:val="hybridMultilevel"/>
    <w:tmpl w:val="2F7E6A8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4AAA26B9"/>
    <w:multiLevelType w:val="hybridMultilevel"/>
    <w:tmpl w:val="643CDB92"/>
    <w:lvl w:ilvl="0" w:tplc="8A24244A">
      <w:start w:val="43"/>
      <w:numFmt w:val="decimal"/>
      <w:lvlText w:val="%1)"/>
      <w:lvlJc w:val="left"/>
      <w:pPr>
        <w:ind w:left="720" w:hanging="360"/>
      </w:pPr>
      <w:rPr>
        <w:rFonts w:hint="default"/>
        <w:u w:val="singl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2F47AA"/>
    <w:multiLevelType w:val="hybridMultilevel"/>
    <w:tmpl w:val="004A5D8A"/>
    <w:lvl w:ilvl="0" w:tplc="4C361F5E">
      <w:start w:val="16"/>
      <w:numFmt w:val="decimal"/>
      <w:lvlText w:val="%1)"/>
      <w:lvlJc w:val="left"/>
      <w:pPr>
        <w:ind w:left="1440" w:hanging="360"/>
      </w:pPr>
      <w:rPr>
        <w:rFonts w:hint="default"/>
        <w:u w:val="singl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413961"/>
    <w:multiLevelType w:val="hybridMultilevel"/>
    <w:tmpl w:val="F0F475D4"/>
    <w:lvl w:ilvl="0" w:tplc="D4E60F9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2FAF6B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9DAE3A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468618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F11204E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A78B28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DD0CC2A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A24EA1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CBECA74A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4" w15:restartNumberingAfterBreak="0">
    <w:nsid w:val="616815BB"/>
    <w:multiLevelType w:val="hybridMultilevel"/>
    <w:tmpl w:val="61D22F18"/>
    <w:lvl w:ilvl="0" w:tplc="84867B56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  <w:i w:val="0"/>
        <w:i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12"/>
  </w:num>
  <w:num w:numId="4">
    <w:abstractNumId w:val="3"/>
  </w:num>
  <w:num w:numId="5">
    <w:abstractNumId w:val="5"/>
  </w:num>
  <w:num w:numId="6">
    <w:abstractNumId w:val="6"/>
  </w:num>
  <w:num w:numId="7">
    <w:abstractNumId w:val="1"/>
  </w:num>
  <w:num w:numId="8">
    <w:abstractNumId w:val="11"/>
  </w:num>
  <w:num w:numId="9">
    <w:abstractNumId w:val="0"/>
  </w:num>
  <w:num w:numId="10">
    <w:abstractNumId w:val="10"/>
  </w:num>
  <w:num w:numId="11">
    <w:abstractNumId w:val="13"/>
  </w:num>
  <w:num w:numId="12">
    <w:abstractNumId w:val="2"/>
  </w:num>
  <w:num w:numId="13">
    <w:abstractNumId w:val="4"/>
  </w:num>
  <w:num w:numId="14">
    <w:abstractNumId w:val="8"/>
  </w:num>
  <w:num w:numId="15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14B02"/>
    <w:rsid w:val="00005EBC"/>
    <w:rsid w:val="00095186"/>
    <w:rsid w:val="00095ED7"/>
    <w:rsid w:val="000F117D"/>
    <w:rsid w:val="000F6BCF"/>
    <w:rsid w:val="0011424A"/>
    <w:rsid w:val="00120750"/>
    <w:rsid w:val="001B0F3B"/>
    <w:rsid w:val="001B55CA"/>
    <w:rsid w:val="001C43AA"/>
    <w:rsid w:val="001D7A1D"/>
    <w:rsid w:val="00231CFA"/>
    <w:rsid w:val="00304E59"/>
    <w:rsid w:val="0035332B"/>
    <w:rsid w:val="00380DC7"/>
    <w:rsid w:val="00394595"/>
    <w:rsid w:val="003960F0"/>
    <w:rsid w:val="003F0401"/>
    <w:rsid w:val="00447FC4"/>
    <w:rsid w:val="0049126F"/>
    <w:rsid w:val="004B2100"/>
    <w:rsid w:val="004B49D7"/>
    <w:rsid w:val="00507E3C"/>
    <w:rsid w:val="00584C75"/>
    <w:rsid w:val="005A54F6"/>
    <w:rsid w:val="005C3F0C"/>
    <w:rsid w:val="006035B1"/>
    <w:rsid w:val="006050D3"/>
    <w:rsid w:val="00613384"/>
    <w:rsid w:val="00614B02"/>
    <w:rsid w:val="006860B9"/>
    <w:rsid w:val="006D2BF1"/>
    <w:rsid w:val="006E48FC"/>
    <w:rsid w:val="006F7826"/>
    <w:rsid w:val="007044D8"/>
    <w:rsid w:val="00764448"/>
    <w:rsid w:val="00766122"/>
    <w:rsid w:val="007877D9"/>
    <w:rsid w:val="007A6DA7"/>
    <w:rsid w:val="007A78A2"/>
    <w:rsid w:val="007D411C"/>
    <w:rsid w:val="00833F1C"/>
    <w:rsid w:val="008B1B1A"/>
    <w:rsid w:val="008B3DC0"/>
    <w:rsid w:val="008E7217"/>
    <w:rsid w:val="00961FDF"/>
    <w:rsid w:val="00962868"/>
    <w:rsid w:val="009811CC"/>
    <w:rsid w:val="009A6DBD"/>
    <w:rsid w:val="009D00B5"/>
    <w:rsid w:val="009F0D54"/>
    <w:rsid w:val="00A435CA"/>
    <w:rsid w:val="00A54B3E"/>
    <w:rsid w:val="00AA1E36"/>
    <w:rsid w:val="00AB26F6"/>
    <w:rsid w:val="00AC73D4"/>
    <w:rsid w:val="00AD2BE0"/>
    <w:rsid w:val="00AE542B"/>
    <w:rsid w:val="00B0595C"/>
    <w:rsid w:val="00B410D5"/>
    <w:rsid w:val="00B6624F"/>
    <w:rsid w:val="00B741B7"/>
    <w:rsid w:val="00BB29ED"/>
    <w:rsid w:val="00C432C1"/>
    <w:rsid w:val="00C86951"/>
    <w:rsid w:val="00CD62F1"/>
    <w:rsid w:val="00CF25DD"/>
    <w:rsid w:val="00CF6F13"/>
    <w:rsid w:val="00D06C88"/>
    <w:rsid w:val="00D1550F"/>
    <w:rsid w:val="00D20A1C"/>
    <w:rsid w:val="00D9770B"/>
    <w:rsid w:val="00DC61FB"/>
    <w:rsid w:val="00DF3C03"/>
    <w:rsid w:val="00E111D1"/>
    <w:rsid w:val="00EB03C4"/>
    <w:rsid w:val="00EC265D"/>
    <w:rsid w:val="00F32184"/>
    <w:rsid w:val="00F42C01"/>
    <w:rsid w:val="00F601A3"/>
    <w:rsid w:val="00F614DF"/>
    <w:rsid w:val="00F93DBC"/>
    <w:rsid w:val="00FC38D4"/>
    <w:rsid w:val="00FE22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D6B4443"/>
  <w14:defaultImageDpi w14:val="300"/>
  <w15:docId w15:val="{88F9DE42-DEC2-461E-AFD1-F089E69EA3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F7826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F7826"/>
  </w:style>
  <w:style w:type="paragraph" w:styleId="Footer">
    <w:name w:val="footer"/>
    <w:basedOn w:val="Normal"/>
    <w:link w:val="FooterChar"/>
    <w:uiPriority w:val="99"/>
    <w:unhideWhenUsed/>
    <w:rsid w:val="006F7826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F7826"/>
  </w:style>
  <w:style w:type="paragraph" w:styleId="ListParagraph">
    <w:name w:val="List Paragraph"/>
    <w:basedOn w:val="Normal"/>
    <w:uiPriority w:val="34"/>
    <w:qFormat/>
    <w:rsid w:val="006F782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rsid w:val="006F7826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6F782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6F7826"/>
    <w:rPr>
      <w:color w:val="800080" w:themeColor="followedHyperlink"/>
      <w:u w:val="single"/>
    </w:rPr>
  </w:style>
  <w:style w:type="character" w:styleId="PageNumber">
    <w:name w:val="page number"/>
    <w:basedOn w:val="DefaultParagraphFont"/>
    <w:uiPriority w:val="99"/>
    <w:semiHidden/>
    <w:unhideWhenUsed/>
    <w:rsid w:val="00AA1E36"/>
  </w:style>
  <w:style w:type="paragraph" w:styleId="NormalWeb">
    <w:name w:val="Normal (Web)"/>
    <w:basedOn w:val="Normal"/>
    <w:uiPriority w:val="99"/>
    <w:semiHidden/>
    <w:unhideWhenUsed/>
    <w:rsid w:val="0049126F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06C88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06C88"/>
    <w:rPr>
      <w:rFonts w:ascii="Lucida Grande" w:hAnsi="Lucida Grande" w:cs="Lucida Grande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7A6DA7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3218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3218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32184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3218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32184"/>
    <w:rPr>
      <w:b/>
      <w:bCs/>
      <w:sz w:val="20"/>
      <w:szCs w:val="20"/>
    </w:rPr>
  </w:style>
  <w:style w:type="paragraph" w:customStyle="1" w:styleId="3vff3xh4yd">
    <w:name w:val="_3vff3xh4yd"/>
    <w:basedOn w:val="Normal"/>
    <w:rsid w:val="00AD2BE0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paragraph" w:styleId="Revision">
    <w:name w:val="Revision"/>
    <w:hidden/>
    <w:uiPriority w:val="99"/>
    <w:semiHidden/>
    <w:rsid w:val="00AE542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4329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730126">
          <w:marLeft w:val="533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4371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5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4581945">
          <w:marLeft w:val="634"/>
          <w:marRight w:val="0"/>
          <w:marTop w:val="24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s://www.hudexchange.info/resources/documents/RentReasonableChecklist.pdf" TargetMode="External"/><Relationship Id="rId18" Type="http://schemas.openxmlformats.org/officeDocument/2006/relationships/hyperlink" Target="https://www.hud.gov/program_offices/administration/hudclips/forms/hud5a" TargetMode="External"/><Relationship Id="rId3" Type="http://schemas.openxmlformats.org/officeDocument/2006/relationships/numbering" Target="numbering.xml"/><Relationship Id="rId21" Type="http://schemas.openxmlformats.org/officeDocument/2006/relationships/header" Target="header2.xml"/><Relationship Id="rId7" Type="http://schemas.openxmlformats.org/officeDocument/2006/relationships/footnotes" Target="footnotes.xml"/><Relationship Id="rId12" Type="http://schemas.openxmlformats.org/officeDocument/2006/relationships/hyperlink" Target="http://portal.hud.gov/hudportal/documents/huddoc?id=52580.pdf" TargetMode="External"/><Relationship Id="rId17" Type="http://schemas.openxmlformats.org/officeDocument/2006/relationships/hyperlink" Target="https://www.csh.org/qualitytoolkit/" TargetMode="External"/><Relationship Id="rId25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hyperlink" Target="https://www.csh.org/resources/intakeassessment-form-sample/" TargetMode="External"/><Relationship Id="rId20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ctbos.org/wp-admin/post.php?post=4698&amp;action=edit%23." TargetMode="External"/><Relationship Id="rId24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hyperlink" Target="https://apps.hud.gov/offices/lead/training/visualassessment/h00300.htm" TargetMode="External"/><Relationship Id="rId23" Type="http://schemas.openxmlformats.org/officeDocument/2006/relationships/footer" Target="footer2.xml"/><Relationship Id="rId10" Type="http://schemas.openxmlformats.org/officeDocument/2006/relationships/hyperlink" Target="http://www.ctbos.org/wp-content/uploads/2017/04/CT-CoC-Eligibilility-Verification-Resources-Compiled-2017.10.30.pdf" TargetMode="External"/><Relationship Id="rId19" Type="http://schemas.openxmlformats.org/officeDocument/2006/relationships/hyperlink" Target="http://www.ctbos.org/wp-content/uploads/2019/01/General-Health-and-Safety-Checklist_Final-Updated-2018.12.19.doc" TargetMode="External"/><Relationship Id="rId4" Type="http://schemas.openxmlformats.org/officeDocument/2006/relationships/styles" Target="styles.xml"/><Relationship Id="rId9" Type="http://schemas.openxmlformats.org/officeDocument/2006/relationships/hyperlink" Target="http://www.ctbos.org/resources/" TargetMode="External"/><Relationship Id="rId14" Type="http://schemas.openxmlformats.org/officeDocument/2006/relationships/hyperlink" Target="https://www.hud.gov/program_offices/healthy_homes/enforcement/disclosure" TargetMode="External"/><Relationship Id="rId22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hanm\Downloads\Participant%20Chart%20-%20Monit%20Prep%20guidance%202019.03.11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2017-10-26T00:00:00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6BBE1DA4-3B56-4A8E-B862-84160A2C7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Participant Chart - Monit Prep guidance 2019.03.11</Template>
  <TotalTime>1185</TotalTime>
  <Pages>4</Pages>
  <Words>1452</Words>
  <Characters>8277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Participant Chart Monitoring Preparation Guidance</vt:lpstr>
    </vt:vector>
  </TitlesOfParts>
  <Company/>
  <LinksUpToDate>false</LinksUpToDate>
  <CharactersWithSpaces>9710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Participant Chart Monitoring Preparation Guidance</dc:title>
  <dc:subject/>
  <dc:creator>Shannon Quinn-Sheeran</dc:creator>
  <cp:keywords/>
  <dc:description/>
  <cp:lastModifiedBy>Shannon Quinn-Sheeran</cp:lastModifiedBy>
  <cp:revision>5</cp:revision>
  <dcterms:created xsi:type="dcterms:W3CDTF">2019-03-11T15:39:00Z</dcterms:created>
  <dcterms:modified xsi:type="dcterms:W3CDTF">2019-03-13T19:44:00Z</dcterms:modified>
</cp:coreProperties>
</file>