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46E3" w14:textId="363BD195" w:rsidR="00F30A4F" w:rsidRPr="00F30A4F" w:rsidRDefault="00F30A4F" w:rsidP="00F30A4F">
      <w:pPr>
        <w:pStyle w:val="Default"/>
        <w:rPr>
          <w:rFonts w:asciiTheme="minorHAnsi" w:hAnsiTheme="minorHAnsi" w:cstheme="minorHAnsi"/>
          <w:sz w:val="44"/>
          <w:szCs w:val="44"/>
        </w:rPr>
      </w:pPr>
      <w:r w:rsidRPr="00F30A4F">
        <w:rPr>
          <w:rFonts w:asciiTheme="minorHAnsi" w:hAnsiTheme="minorHAnsi" w:cstheme="minorHAnsi"/>
          <w:b/>
          <w:bCs/>
          <w:sz w:val="44"/>
          <w:szCs w:val="44"/>
        </w:rPr>
        <w:t xml:space="preserve">MEMORANDUM </w:t>
      </w:r>
    </w:p>
    <w:p w14:paraId="7B3CAB12" w14:textId="77777777" w:rsidR="00201118" w:rsidRPr="00547635" w:rsidRDefault="00201118" w:rsidP="00F30A4F">
      <w:pPr>
        <w:pStyle w:val="Default"/>
        <w:rPr>
          <w:rFonts w:ascii="Calibri" w:hAnsi="Calibri" w:cs="Calibri"/>
          <w:sz w:val="10"/>
          <w:szCs w:val="10"/>
        </w:rPr>
      </w:pPr>
    </w:p>
    <w:p w14:paraId="33941E00" w14:textId="064409E8" w:rsidR="00F30A4F" w:rsidRPr="00F30A4F" w:rsidRDefault="00F30A4F" w:rsidP="00F30A4F">
      <w:pPr>
        <w:pStyle w:val="Default"/>
        <w:rPr>
          <w:rFonts w:ascii="Calibri" w:hAnsi="Calibri" w:cs="Calibri"/>
        </w:rPr>
      </w:pPr>
      <w:r w:rsidRPr="00201118">
        <w:rPr>
          <w:rFonts w:ascii="Calibri" w:hAnsi="Calibri" w:cs="Calibri"/>
          <w:b/>
          <w:bCs/>
        </w:rPr>
        <w:t>FROM:</w:t>
      </w:r>
      <w:r w:rsidRPr="00F30A4F">
        <w:rPr>
          <w:rFonts w:ascii="Calibri" w:hAnsi="Calibri" w:cs="Calibri"/>
        </w:rPr>
        <w:t xml:space="preserve"> </w:t>
      </w:r>
      <w:r w:rsidR="00201118">
        <w:rPr>
          <w:rFonts w:ascii="Calibri" w:hAnsi="Calibri" w:cs="Calibri"/>
        </w:rPr>
        <w:t xml:space="preserve">  </w:t>
      </w:r>
      <w:r w:rsidRPr="00F30A4F">
        <w:rPr>
          <w:rFonts w:ascii="Calibri" w:hAnsi="Calibri" w:cs="Calibri"/>
        </w:rPr>
        <w:t xml:space="preserve">Steve DiLella, </w:t>
      </w:r>
      <w:r>
        <w:rPr>
          <w:rFonts w:ascii="Calibri" w:hAnsi="Calibri" w:cs="Calibri"/>
        </w:rPr>
        <w:t>John</w:t>
      </w:r>
      <w:r w:rsidR="00201118">
        <w:rPr>
          <w:rFonts w:ascii="Calibri" w:hAnsi="Calibri" w:cs="Calibri"/>
        </w:rPr>
        <w:t xml:space="preserve"> Merz, Alice Minervino, CT BOS Co-Chairs</w:t>
      </w:r>
      <w:r w:rsidRPr="00F30A4F">
        <w:rPr>
          <w:rFonts w:ascii="Calibri" w:hAnsi="Calibri" w:cs="Calibri"/>
        </w:rPr>
        <w:t xml:space="preserve"> </w:t>
      </w:r>
    </w:p>
    <w:p w14:paraId="1E33A506" w14:textId="77777777" w:rsidR="00201118" w:rsidRPr="00547635" w:rsidRDefault="00201118" w:rsidP="00F30A4F">
      <w:pPr>
        <w:pStyle w:val="Default"/>
        <w:rPr>
          <w:rFonts w:ascii="Calibri" w:hAnsi="Calibri" w:cs="Calibri"/>
          <w:sz w:val="10"/>
          <w:szCs w:val="10"/>
        </w:rPr>
      </w:pPr>
    </w:p>
    <w:p w14:paraId="544FADEE" w14:textId="1DC296D9" w:rsidR="00F30A4F" w:rsidRPr="00F30A4F" w:rsidRDefault="00F30A4F" w:rsidP="00F30A4F">
      <w:pPr>
        <w:pStyle w:val="Default"/>
        <w:rPr>
          <w:rFonts w:ascii="Calibri" w:hAnsi="Calibri" w:cs="Calibri"/>
        </w:rPr>
      </w:pPr>
      <w:r w:rsidRPr="00201118">
        <w:rPr>
          <w:rFonts w:ascii="Calibri" w:hAnsi="Calibri" w:cs="Calibri"/>
          <w:b/>
          <w:bCs/>
        </w:rPr>
        <w:t>TO:</w:t>
      </w:r>
      <w:r w:rsidRPr="00F30A4F">
        <w:rPr>
          <w:rFonts w:ascii="Calibri" w:hAnsi="Calibri" w:cs="Calibri"/>
        </w:rPr>
        <w:t xml:space="preserve"> </w:t>
      </w:r>
      <w:r w:rsidR="00201118">
        <w:rPr>
          <w:rFonts w:ascii="Calibri" w:hAnsi="Calibri" w:cs="Calibri"/>
        </w:rPr>
        <w:tab/>
        <w:t xml:space="preserve">  CT BOS CoC &amp; DOH ESG funded Provider Agencies</w:t>
      </w:r>
      <w:r w:rsidRPr="00F30A4F">
        <w:rPr>
          <w:rFonts w:ascii="Calibri" w:hAnsi="Calibri" w:cs="Calibri"/>
        </w:rPr>
        <w:t xml:space="preserve"> </w:t>
      </w:r>
    </w:p>
    <w:p w14:paraId="2FE5D46F" w14:textId="77777777" w:rsidR="00201118" w:rsidRPr="00547635" w:rsidRDefault="00201118" w:rsidP="00F30A4F">
      <w:pPr>
        <w:pStyle w:val="Default"/>
        <w:rPr>
          <w:rFonts w:ascii="Calibri" w:hAnsi="Calibri" w:cs="Calibri"/>
          <w:sz w:val="10"/>
          <w:szCs w:val="10"/>
        </w:rPr>
      </w:pPr>
    </w:p>
    <w:p w14:paraId="49C00BD0" w14:textId="324C5BE0" w:rsidR="00F30A4F" w:rsidRPr="00F30A4F" w:rsidRDefault="00F30A4F" w:rsidP="00F30A4F">
      <w:pPr>
        <w:pStyle w:val="Default"/>
        <w:rPr>
          <w:rFonts w:ascii="Calibri" w:hAnsi="Calibri" w:cs="Calibri"/>
        </w:rPr>
      </w:pPr>
      <w:r w:rsidRPr="00201118">
        <w:rPr>
          <w:rFonts w:ascii="Calibri" w:hAnsi="Calibri" w:cs="Calibri"/>
          <w:b/>
          <w:bCs/>
        </w:rPr>
        <w:t>DATE:</w:t>
      </w:r>
      <w:r w:rsidRPr="00F30A4F">
        <w:rPr>
          <w:rFonts w:ascii="Calibri" w:hAnsi="Calibri" w:cs="Calibri"/>
        </w:rPr>
        <w:t xml:space="preserve"> </w:t>
      </w:r>
      <w:r w:rsidR="00201118">
        <w:rPr>
          <w:rFonts w:ascii="Calibri" w:hAnsi="Calibri" w:cs="Calibri"/>
        </w:rPr>
        <w:tab/>
        <w:t xml:space="preserve">  </w:t>
      </w:r>
      <w:r w:rsidR="00E659F6">
        <w:rPr>
          <w:rFonts w:ascii="Calibri" w:hAnsi="Calibri" w:cs="Calibri"/>
        </w:rPr>
        <w:t>May 2</w:t>
      </w:r>
      <w:r w:rsidR="00EB74F6">
        <w:rPr>
          <w:rFonts w:ascii="Calibri" w:hAnsi="Calibri" w:cs="Calibri"/>
        </w:rPr>
        <w:t>8</w:t>
      </w:r>
      <w:r w:rsidR="00E659F6">
        <w:rPr>
          <w:rFonts w:ascii="Calibri" w:hAnsi="Calibri" w:cs="Calibri"/>
        </w:rPr>
        <w:t>, 2020</w:t>
      </w:r>
      <w:r w:rsidRPr="00F30A4F">
        <w:rPr>
          <w:rFonts w:ascii="Calibri" w:hAnsi="Calibri" w:cs="Calibri"/>
        </w:rPr>
        <w:t xml:space="preserve"> </w:t>
      </w:r>
    </w:p>
    <w:p w14:paraId="65B45D25" w14:textId="77777777" w:rsidR="00201118" w:rsidRPr="00547635" w:rsidRDefault="00201118" w:rsidP="00F30A4F">
      <w:pPr>
        <w:pStyle w:val="Default"/>
        <w:rPr>
          <w:rFonts w:ascii="Calibri" w:hAnsi="Calibri" w:cs="Calibri"/>
          <w:sz w:val="10"/>
          <w:szCs w:val="10"/>
        </w:rPr>
      </w:pPr>
    </w:p>
    <w:p w14:paraId="67921256" w14:textId="46E08AB7" w:rsidR="00F30A4F" w:rsidRPr="00F30A4F" w:rsidRDefault="00F30A4F" w:rsidP="00F30A4F">
      <w:pPr>
        <w:pStyle w:val="Default"/>
        <w:pBdr>
          <w:bottom w:val="single" w:sz="12" w:space="1" w:color="auto"/>
        </w:pBdr>
        <w:rPr>
          <w:rFonts w:ascii="Calibri" w:hAnsi="Calibri" w:cs="Calibri"/>
        </w:rPr>
      </w:pPr>
      <w:r w:rsidRPr="00201118">
        <w:rPr>
          <w:rFonts w:ascii="Calibri" w:hAnsi="Calibri" w:cs="Calibri"/>
          <w:b/>
          <w:bCs/>
        </w:rPr>
        <w:t>RE:</w:t>
      </w:r>
      <w:r w:rsidRPr="00F30A4F">
        <w:rPr>
          <w:rFonts w:ascii="Calibri" w:hAnsi="Calibri" w:cs="Calibri"/>
        </w:rPr>
        <w:t xml:space="preserve"> </w:t>
      </w:r>
      <w:r w:rsidR="00201118">
        <w:rPr>
          <w:rFonts w:ascii="Calibri" w:hAnsi="Calibri" w:cs="Calibri"/>
        </w:rPr>
        <w:tab/>
        <w:t xml:space="preserve">  </w:t>
      </w:r>
      <w:r w:rsidR="00E659F6">
        <w:rPr>
          <w:rFonts w:ascii="Calibri" w:hAnsi="Calibri" w:cs="Calibri"/>
        </w:rPr>
        <w:t xml:space="preserve">Additional </w:t>
      </w:r>
      <w:r w:rsidR="00201118">
        <w:rPr>
          <w:rFonts w:ascii="Calibri" w:hAnsi="Calibri" w:cs="Calibri"/>
        </w:rPr>
        <w:t>COVID-19 Related Waivers to CoC &amp; ESG Requirements</w:t>
      </w:r>
      <w:r w:rsidRPr="00F30A4F">
        <w:rPr>
          <w:rFonts w:ascii="Calibri" w:hAnsi="Calibri" w:cs="Calibri"/>
        </w:rPr>
        <w:t xml:space="preserve"> </w:t>
      </w:r>
    </w:p>
    <w:p w14:paraId="225F7653" w14:textId="77777777" w:rsidR="00547635" w:rsidRDefault="00547635" w:rsidP="00412CC4">
      <w:pPr>
        <w:jc w:val="both"/>
        <w:rPr>
          <w:rFonts w:ascii="Calibri" w:hAnsi="Calibri" w:cs="Calibri"/>
        </w:rPr>
      </w:pPr>
    </w:p>
    <w:p w14:paraId="09EF06FB" w14:textId="04E162CE" w:rsidR="00201118" w:rsidRPr="00BE0751" w:rsidRDefault="00201118" w:rsidP="00F82FF8">
      <w:pPr>
        <w:jc w:val="both"/>
        <w:rPr>
          <w:rFonts w:asciiTheme="minorHAnsi" w:hAnsiTheme="minorHAnsi" w:cstheme="minorHAnsi"/>
        </w:rPr>
      </w:pPr>
      <w:r w:rsidRPr="00BE0751">
        <w:rPr>
          <w:rFonts w:asciiTheme="minorHAnsi" w:hAnsiTheme="minorHAnsi" w:cstheme="minorHAnsi"/>
        </w:rPr>
        <w:t>Dear Colleagues:</w:t>
      </w:r>
    </w:p>
    <w:p w14:paraId="55983DB2" w14:textId="77777777" w:rsidR="00BE0751" w:rsidRPr="00BE0751" w:rsidRDefault="00BE0751" w:rsidP="00F82FF8">
      <w:pPr>
        <w:jc w:val="both"/>
        <w:rPr>
          <w:rFonts w:asciiTheme="minorHAnsi" w:hAnsiTheme="minorHAnsi" w:cstheme="minorHAnsi"/>
        </w:rPr>
      </w:pPr>
    </w:p>
    <w:p w14:paraId="24928843" w14:textId="2B52AE02" w:rsidR="00666A00" w:rsidRPr="00CD0907" w:rsidRDefault="00666A00" w:rsidP="00F82FF8">
      <w:pPr>
        <w:jc w:val="both"/>
        <w:rPr>
          <w:rFonts w:asciiTheme="minorHAnsi" w:hAnsiTheme="minorHAnsi" w:cstheme="minorHAnsi"/>
          <w:color w:val="FF0000"/>
        </w:rPr>
      </w:pPr>
      <w:r w:rsidRPr="00BE0751">
        <w:rPr>
          <w:rFonts w:asciiTheme="minorHAnsi" w:hAnsiTheme="minorHAnsi" w:cstheme="minorHAnsi"/>
        </w:rPr>
        <w:t xml:space="preserve">In light of the COVID-19 crisis, </w:t>
      </w:r>
      <w:r w:rsidR="00E659F6" w:rsidRPr="00BE0751">
        <w:rPr>
          <w:rFonts w:asciiTheme="minorHAnsi" w:hAnsiTheme="minorHAnsi" w:cstheme="minorHAnsi"/>
        </w:rPr>
        <w:t xml:space="preserve">earlier this week HUD released a new </w:t>
      </w:r>
      <w:hyperlink r:id="rId8" w:history="1">
        <w:r w:rsidR="00E659F6" w:rsidRPr="00BE0751">
          <w:rPr>
            <w:rStyle w:val="Hyperlink"/>
            <w:rFonts w:asciiTheme="minorHAnsi" w:hAnsiTheme="minorHAnsi" w:cstheme="minorHAnsi"/>
          </w:rPr>
          <w:t>memorandum</w:t>
        </w:r>
      </w:hyperlink>
      <w:r w:rsidR="00E659F6" w:rsidRPr="00BE0751">
        <w:rPr>
          <w:rFonts w:asciiTheme="minorHAnsi" w:hAnsiTheme="minorHAnsi" w:cstheme="minorHAnsi"/>
        </w:rPr>
        <w:t xml:space="preserve"> </w:t>
      </w:r>
      <w:r w:rsidR="00201118" w:rsidRPr="00BE0751">
        <w:rPr>
          <w:rFonts w:asciiTheme="minorHAnsi" w:hAnsiTheme="minorHAnsi" w:cstheme="minorHAnsi"/>
        </w:rPr>
        <w:t xml:space="preserve"> </w:t>
      </w:r>
      <w:r w:rsidR="00E659F6" w:rsidRPr="00BE0751">
        <w:rPr>
          <w:rFonts w:asciiTheme="minorHAnsi" w:hAnsiTheme="minorHAnsi" w:cstheme="minorHAnsi"/>
        </w:rPr>
        <w:t xml:space="preserve">authorizing additional waivers for the Continuum of Care (CoC), Emergency Solutions Grant (ESG) and HOPWA programs </w:t>
      </w:r>
      <w:r w:rsidR="00E659F6" w:rsidRPr="00BE0751">
        <w:rPr>
          <w:rFonts w:asciiTheme="minorHAnsi" w:hAnsiTheme="minorHAnsi" w:cstheme="minorHAnsi"/>
          <w:i/>
        </w:rPr>
        <w:t>(note: all blue underlined words throughout this document are live links that can be directly clicked on).</w:t>
      </w:r>
      <w:r w:rsidR="00E659F6" w:rsidRPr="00BE0751">
        <w:rPr>
          <w:rFonts w:asciiTheme="minorHAnsi" w:hAnsiTheme="minorHAnsi" w:cstheme="minorHAnsi"/>
        </w:rPr>
        <w:t xml:space="preserve"> This new memorandum authorizes additional waiver flexibilities beyond those included in the 3/31/20 </w:t>
      </w:r>
      <w:r w:rsidR="00201118" w:rsidRPr="00BE0751">
        <w:rPr>
          <w:rFonts w:asciiTheme="minorHAnsi" w:hAnsiTheme="minorHAnsi" w:cstheme="minorHAnsi"/>
        </w:rPr>
        <w:t xml:space="preserve">HUD </w:t>
      </w:r>
      <w:hyperlink r:id="rId9" w:history="1">
        <w:r w:rsidR="00201118" w:rsidRPr="00BE0751">
          <w:rPr>
            <w:rStyle w:val="Hyperlink"/>
            <w:rFonts w:asciiTheme="minorHAnsi" w:hAnsiTheme="minorHAnsi" w:cstheme="minorHAnsi"/>
          </w:rPr>
          <w:t>memorandum</w:t>
        </w:r>
      </w:hyperlink>
      <w:r w:rsidR="00E659F6" w:rsidRPr="00BE0751">
        <w:rPr>
          <w:rFonts w:asciiTheme="minorHAnsi" w:hAnsiTheme="minorHAnsi" w:cstheme="minorHAnsi"/>
        </w:rPr>
        <w:t xml:space="preserve">.  </w:t>
      </w:r>
      <w:r w:rsidR="00412CC4" w:rsidRPr="00BE0751">
        <w:rPr>
          <w:rFonts w:asciiTheme="minorHAnsi" w:hAnsiTheme="minorHAnsi" w:cstheme="minorHAnsi"/>
        </w:rPr>
        <w:t>This</w:t>
      </w:r>
      <w:r w:rsidR="00E659F6" w:rsidRPr="00BE0751">
        <w:rPr>
          <w:rFonts w:asciiTheme="minorHAnsi" w:hAnsiTheme="minorHAnsi" w:cstheme="minorHAnsi"/>
        </w:rPr>
        <w:t xml:space="preserve"> CT BOS memo has been updated to include </w:t>
      </w:r>
      <w:r w:rsidR="00412CC4" w:rsidRPr="00BE0751">
        <w:rPr>
          <w:rFonts w:asciiTheme="minorHAnsi" w:hAnsiTheme="minorHAnsi" w:cstheme="minorHAnsi"/>
        </w:rPr>
        <w:t xml:space="preserve">a summary of </w:t>
      </w:r>
      <w:r w:rsidR="00E659F6" w:rsidRPr="00BE0751">
        <w:rPr>
          <w:rFonts w:asciiTheme="minorHAnsi" w:hAnsiTheme="minorHAnsi" w:cstheme="minorHAnsi"/>
        </w:rPr>
        <w:t xml:space="preserve">all </w:t>
      </w:r>
      <w:r w:rsidR="007D10B0" w:rsidRPr="00BE0751">
        <w:rPr>
          <w:rFonts w:asciiTheme="minorHAnsi" w:hAnsiTheme="minorHAnsi" w:cstheme="minorHAnsi"/>
        </w:rPr>
        <w:t xml:space="preserve">ESG and CoC </w:t>
      </w:r>
      <w:r w:rsidR="00412CC4" w:rsidRPr="00BE0751">
        <w:rPr>
          <w:rFonts w:asciiTheme="minorHAnsi" w:hAnsiTheme="minorHAnsi" w:cstheme="minorHAnsi"/>
        </w:rPr>
        <w:t>waivers</w:t>
      </w:r>
      <w:r w:rsidR="00E659F6" w:rsidRPr="00BE0751">
        <w:rPr>
          <w:rFonts w:asciiTheme="minorHAnsi" w:hAnsiTheme="minorHAnsi" w:cstheme="minorHAnsi"/>
        </w:rPr>
        <w:t xml:space="preserve"> from both HUD memos</w:t>
      </w:r>
      <w:r w:rsidR="00412CC4" w:rsidRPr="00BE0751">
        <w:rPr>
          <w:rFonts w:asciiTheme="minorHAnsi" w:hAnsiTheme="minorHAnsi" w:cstheme="minorHAnsi"/>
        </w:rPr>
        <w:t xml:space="preserve">, and information about </w:t>
      </w:r>
      <w:r w:rsidR="00E1491D" w:rsidRPr="00BE0751">
        <w:rPr>
          <w:rFonts w:asciiTheme="minorHAnsi" w:hAnsiTheme="minorHAnsi" w:cstheme="minorHAnsi"/>
        </w:rPr>
        <w:t>how to</w:t>
      </w:r>
      <w:r w:rsidR="00412CC4" w:rsidRPr="00BE0751">
        <w:rPr>
          <w:rFonts w:asciiTheme="minorHAnsi" w:hAnsiTheme="minorHAnsi" w:cstheme="minorHAnsi"/>
        </w:rPr>
        <w:t xml:space="preserve"> us</w:t>
      </w:r>
      <w:r w:rsidR="00E1491D" w:rsidRPr="00BE0751">
        <w:rPr>
          <w:rFonts w:asciiTheme="minorHAnsi" w:hAnsiTheme="minorHAnsi" w:cstheme="minorHAnsi"/>
        </w:rPr>
        <w:t>e</w:t>
      </w:r>
      <w:r w:rsidR="00412CC4" w:rsidRPr="00BE0751">
        <w:rPr>
          <w:rFonts w:asciiTheme="minorHAnsi" w:hAnsiTheme="minorHAnsi" w:cstheme="minorHAnsi"/>
        </w:rPr>
        <w:t xml:space="preserve"> the waivers. </w:t>
      </w:r>
      <w:r w:rsidR="00F72309" w:rsidRPr="00BE0751">
        <w:rPr>
          <w:rFonts w:asciiTheme="minorHAnsi" w:hAnsiTheme="minorHAnsi" w:cstheme="minorHAnsi"/>
        </w:rPr>
        <w:t>New waiver flexibilit</w:t>
      </w:r>
      <w:r w:rsidR="00CD0907">
        <w:rPr>
          <w:rFonts w:asciiTheme="minorHAnsi" w:hAnsiTheme="minorHAnsi" w:cstheme="minorHAnsi"/>
        </w:rPr>
        <w:t>ies</w:t>
      </w:r>
      <w:r w:rsidR="00F72309" w:rsidRPr="00BE0751">
        <w:rPr>
          <w:rFonts w:asciiTheme="minorHAnsi" w:hAnsiTheme="minorHAnsi" w:cstheme="minorHAnsi"/>
        </w:rPr>
        <w:t xml:space="preserve"> </w:t>
      </w:r>
      <w:r w:rsidR="00CD0907">
        <w:rPr>
          <w:rFonts w:asciiTheme="minorHAnsi" w:hAnsiTheme="minorHAnsi" w:cstheme="minorHAnsi"/>
        </w:rPr>
        <w:t>and related instructions are</w:t>
      </w:r>
      <w:r w:rsidR="00F72309" w:rsidRPr="00BE0751">
        <w:rPr>
          <w:rFonts w:asciiTheme="minorHAnsi" w:hAnsiTheme="minorHAnsi" w:cstheme="minorHAnsi"/>
        </w:rPr>
        <w:t xml:space="preserve"> indicated in </w:t>
      </w:r>
      <w:r w:rsidR="00F72309" w:rsidRPr="00BE0751">
        <w:rPr>
          <w:rFonts w:asciiTheme="minorHAnsi" w:hAnsiTheme="minorHAnsi" w:cstheme="minorHAnsi"/>
          <w:color w:val="FF0000"/>
        </w:rPr>
        <w:t xml:space="preserve">red text </w:t>
      </w:r>
      <w:r w:rsidR="00F72309" w:rsidRPr="00BE0751">
        <w:rPr>
          <w:rFonts w:asciiTheme="minorHAnsi" w:hAnsiTheme="minorHAnsi" w:cstheme="minorHAnsi"/>
        </w:rPr>
        <w:t xml:space="preserve">throughout this memo. </w:t>
      </w:r>
      <w:r w:rsidR="00412CC4" w:rsidRPr="00BE0751">
        <w:rPr>
          <w:rFonts w:asciiTheme="minorHAnsi" w:hAnsiTheme="minorHAnsi" w:cstheme="minorHAnsi"/>
        </w:rPr>
        <w:t xml:space="preserve">If your agency is </w:t>
      </w:r>
      <w:r w:rsidR="00E1491D" w:rsidRPr="00BE0751">
        <w:rPr>
          <w:rFonts w:asciiTheme="minorHAnsi" w:hAnsiTheme="minorHAnsi" w:cstheme="minorHAnsi"/>
        </w:rPr>
        <w:t xml:space="preserve">a </w:t>
      </w:r>
      <w:r w:rsidR="007D10B0" w:rsidRPr="00BE0751">
        <w:rPr>
          <w:rFonts w:asciiTheme="minorHAnsi" w:hAnsiTheme="minorHAnsi" w:cstheme="minorHAnsi"/>
        </w:rPr>
        <w:t>Connecticut Balance of State Continuum of Care (</w:t>
      </w:r>
      <w:r w:rsidR="00412CC4" w:rsidRPr="00BE0751">
        <w:rPr>
          <w:rFonts w:asciiTheme="minorHAnsi" w:hAnsiTheme="minorHAnsi" w:cstheme="minorHAnsi"/>
        </w:rPr>
        <w:t>CT BOS CoC</w:t>
      </w:r>
      <w:r w:rsidR="007D10B0" w:rsidRPr="00BE0751">
        <w:rPr>
          <w:rFonts w:asciiTheme="minorHAnsi" w:hAnsiTheme="minorHAnsi" w:cstheme="minorHAnsi"/>
        </w:rPr>
        <w:t>)</w:t>
      </w:r>
      <w:r w:rsidR="00412CC4" w:rsidRPr="00BE0751">
        <w:rPr>
          <w:rFonts w:asciiTheme="minorHAnsi" w:hAnsiTheme="minorHAnsi" w:cstheme="minorHAnsi"/>
        </w:rPr>
        <w:t xml:space="preserve"> grant recipient (i.e., your agency receives CoC funds directly from HUD</w:t>
      </w:r>
      <w:r w:rsidR="00E1491D" w:rsidRPr="00BE0751">
        <w:rPr>
          <w:rFonts w:asciiTheme="minorHAnsi" w:hAnsiTheme="minorHAnsi" w:cstheme="minorHAnsi"/>
        </w:rPr>
        <w:t xml:space="preserve"> and not through another agency</w:t>
      </w:r>
      <w:r w:rsidR="00412CC4" w:rsidRPr="00BE0751">
        <w:rPr>
          <w:rFonts w:asciiTheme="minorHAnsi" w:hAnsiTheme="minorHAnsi" w:cstheme="minorHAnsi"/>
        </w:rPr>
        <w:t>)</w:t>
      </w:r>
      <w:r w:rsidR="00E1491D" w:rsidRPr="00BE0751">
        <w:rPr>
          <w:rFonts w:asciiTheme="minorHAnsi" w:hAnsiTheme="minorHAnsi" w:cstheme="minorHAnsi"/>
        </w:rPr>
        <w:t>,</w:t>
      </w:r>
      <w:r w:rsidR="00412CC4" w:rsidRPr="00BE0751">
        <w:rPr>
          <w:rFonts w:asciiTheme="minorHAnsi" w:hAnsiTheme="minorHAnsi" w:cstheme="minorHAnsi"/>
        </w:rPr>
        <w:t xml:space="preserve"> </w:t>
      </w:r>
      <w:r w:rsidR="00412CC4" w:rsidRPr="00CD0907">
        <w:rPr>
          <w:rFonts w:asciiTheme="minorHAnsi" w:hAnsiTheme="minorHAnsi" w:cstheme="minorHAnsi"/>
        </w:rPr>
        <w:t xml:space="preserve">you must take the actions specified below to enable waiver use. </w:t>
      </w:r>
      <w:r w:rsidR="00CD0907">
        <w:rPr>
          <w:rFonts w:asciiTheme="minorHAnsi" w:hAnsiTheme="minorHAnsi" w:cstheme="minorHAnsi"/>
          <w:b/>
          <w:bCs/>
        </w:rPr>
        <w:t xml:space="preserve"> </w:t>
      </w:r>
      <w:r w:rsidR="00CD0907" w:rsidRPr="00CD0907">
        <w:rPr>
          <w:rFonts w:asciiTheme="minorHAnsi" w:hAnsiTheme="minorHAnsi" w:cstheme="minorHAnsi"/>
          <w:color w:val="FF0000"/>
        </w:rPr>
        <w:t>Grantees that wish to use the newly available waivers, must notify HUD of their intent to do so, even if they already submitted a notification of their intent to use the original waivers.</w:t>
      </w:r>
    </w:p>
    <w:p w14:paraId="72865E51" w14:textId="77777777" w:rsidR="00BE0751" w:rsidRPr="00BE0751" w:rsidRDefault="00BE0751" w:rsidP="00F82FF8">
      <w:pPr>
        <w:jc w:val="both"/>
        <w:rPr>
          <w:rFonts w:asciiTheme="minorHAnsi" w:hAnsiTheme="minorHAnsi" w:cstheme="minorHAnsi"/>
        </w:rPr>
      </w:pPr>
    </w:p>
    <w:p w14:paraId="746D1978" w14:textId="27DD4835" w:rsidR="00666A00" w:rsidRDefault="00666A00" w:rsidP="00F82FF8">
      <w:pPr>
        <w:jc w:val="both"/>
        <w:rPr>
          <w:rFonts w:asciiTheme="minorHAnsi" w:hAnsiTheme="minorHAnsi" w:cstheme="minorHAnsi"/>
        </w:rPr>
      </w:pPr>
      <w:r w:rsidRPr="00BE0751">
        <w:rPr>
          <w:rFonts w:asciiTheme="minorHAnsi" w:hAnsiTheme="minorHAnsi" w:cstheme="minorHAnsi"/>
        </w:rPr>
        <w:t xml:space="preserve">We strongly encourage all CT BOS CoC &amp; DOH ESG funded provider agencies to carefully review the information contained in this memo.  Please use the available flexibility to prevent the spread of COVID-19 and to facilitate assistance to eligible households, particularly those most vulnerable to exposure to and/or serious complications from COVID-19.  Please do not hesitate to reach out to us at </w:t>
      </w:r>
      <w:hyperlink r:id="rId10" w:history="1">
        <w:r w:rsidRPr="00BE0751">
          <w:rPr>
            <w:rStyle w:val="Hyperlink"/>
            <w:rFonts w:asciiTheme="minorHAnsi" w:hAnsiTheme="minorHAnsi" w:cstheme="minorHAnsi"/>
          </w:rPr>
          <w:t>ctboscoc@gmail.com</w:t>
        </w:r>
      </w:hyperlink>
      <w:r w:rsidRPr="00BE0751">
        <w:rPr>
          <w:rFonts w:asciiTheme="minorHAnsi" w:hAnsiTheme="minorHAnsi" w:cstheme="minorHAnsi"/>
        </w:rPr>
        <w:t>, if you have any questions.</w:t>
      </w:r>
    </w:p>
    <w:p w14:paraId="6F27D99D" w14:textId="77777777" w:rsidR="00BE0751" w:rsidRPr="00BE0751" w:rsidRDefault="00BE0751" w:rsidP="00F82FF8">
      <w:pPr>
        <w:jc w:val="both"/>
        <w:rPr>
          <w:rFonts w:asciiTheme="minorHAnsi" w:hAnsiTheme="minorHAnsi" w:cstheme="minorHAnsi"/>
        </w:rPr>
      </w:pPr>
    </w:p>
    <w:p w14:paraId="42F70747" w14:textId="3257FC0C" w:rsidR="00412CC4" w:rsidRPr="00BE0751" w:rsidRDefault="00547635" w:rsidP="00F82FF8">
      <w:pPr>
        <w:jc w:val="both"/>
        <w:rPr>
          <w:rFonts w:asciiTheme="minorHAnsi" w:hAnsiTheme="minorHAnsi" w:cstheme="minorHAnsi"/>
        </w:rPr>
      </w:pPr>
      <w:r w:rsidRPr="00BE0751">
        <w:rPr>
          <w:rFonts w:asciiTheme="minorHAnsi" w:hAnsiTheme="minorHAnsi" w:cstheme="minorHAnsi"/>
        </w:rPr>
        <w:t>Please note that DMHAS</w:t>
      </w:r>
      <w:r w:rsidR="00E1491D" w:rsidRPr="00BE0751">
        <w:rPr>
          <w:rFonts w:asciiTheme="minorHAnsi" w:hAnsiTheme="minorHAnsi" w:cstheme="minorHAnsi"/>
        </w:rPr>
        <w:t xml:space="preserve">, </w:t>
      </w:r>
      <w:r w:rsidRPr="00BE0751">
        <w:rPr>
          <w:rFonts w:asciiTheme="minorHAnsi" w:hAnsiTheme="minorHAnsi" w:cstheme="minorHAnsi"/>
        </w:rPr>
        <w:t>DOH</w:t>
      </w:r>
      <w:r w:rsidR="00E1491D" w:rsidRPr="00BE0751">
        <w:rPr>
          <w:rFonts w:asciiTheme="minorHAnsi" w:hAnsiTheme="minorHAnsi" w:cstheme="minorHAnsi"/>
        </w:rPr>
        <w:t xml:space="preserve">, and /or </w:t>
      </w:r>
      <w:r w:rsidRPr="00BE0751">
        <w:rPr>
          <w:rFonts w:asciiTheme="minorHAnsi" w:hAnsiTheme="minorHAnsi" w:cstheme="minorHAnsi"/>
        </w:rPr>
        <w:t>CTBOS may re-visit use of these waivers at a later date.</w:t>
      </w:r>
    </w:p>
    <w:p w14:paraId="30AF37C4" w14:textId="77777777" w:rsidR="00BE0751" w:rsidRDefault="00BE0751" w:rsidP="00F82FF8">
      <w:pPr>
        <w:jc w:val="both"/>
        <w:rPr>
          <w:rFonts w:asciiTheme="minorHAnsi" w:hAnsiTheme="minorHAnsi" w:cstheme="minorHAnsi"/>
          <w:b/>
          <w:bCs/>
          <w:u w:val="single"/>
        </w:rPr>
      </w:pPr>
    </w:p>
    <w:p w14:paraId="561E4E24" w14:textId="5352F5DE" w:rsidR="00412CC4" w:rsidRDefault="008F1C7E" w:rsidP="00F82FF8">
      <w:pPr>
        <w:jc w:val="both"/>
        <w:rPr>
          <w:rFonts w:asciiTheme="minorHAnsi" w:hAnsiTheme="minorHAnsi" w:cstheme="minorHAnsi"/>
          <w:b/>
          <w:bCs/>
          <w:u w:val="single"/>
        </w:rPr>
      </w:pPr>
      <w:r w:rsidRPr="00BE0751">
        <w:rPr>
          <w:rFonts w:asciiTheme="minorHAnsi" w:hAnsiTheme="minorHAnsi" w:cstheme="minorHAnsi"/>
          <w:b/>
          <w:bCs/>
          <w:u w:val="single"/>
        </w:rPr>
        <w:t xml:space="preserve">COC GRANTEES MUST NOTIFY HUD </w:t>
      </w:r>
      <w:r w:rsidR="00F72309" w:rsidRPr="00BE0751">
        <w:rPr>
          <w:rFonts w:asciiTheme="minorHAnsi" w:hAnsiTheme="minorHAnsi" w:cstheme="minorHAnsi"/>
          <w:b/>
          <w:bCs/>
          <w:u w:val="single"/>
        </w:rPr>
        <w:t xml:space="preserve">AND CT BOS </w:t>
      </w:r>
      <w:r w:rsidRPr="00BE0751">
        <w:rPr>
          <w:rFonts w:asciiTheme="minorHAnsi" w:hAnsiTheme="minorHAnsi" w:cstheme="minorHAnsi"/>
          <w:b/>
          <w:bCs/>
          <w:u w:val="single"/>
        </w:rPr>
        <w:t>OF INTENT TO UTILIZE WAIVERS.</w:t>
      </w:r>
    </w:p>
    <w:p w14:paraId="7C0E800A" w14:textId="77777777" w:rsidR="00BE0751" w:rsidRPr="00BE0751" w:rsidRDefault="00BE0751" w:rsidP="00F82FF8">
      <w:pPr>
        <w:jc w:val="both"/>
        <w:rPr>
          <w:rFonts w:asciiTheme="minorHAnsi" w:hAnsiTheme="minorHAnsi" w:cstheme="minorHAnsi"/>
          <w:b/>
          <w:bCs/>
          <w:u w:val="single"/>
        </w:rPr>
      </w:pPr>
    </w:p>
    <w:p w14:paraId="08713243" w14:textId="4CFB262E" w:rsidR="00E72182" w:rsidRDefault="00E72182" w:rsidP="00E72182">
      <w:pPr>
        <w:jc w:val="both"/>
        <w:rPr>
          <w:rFonts w:asciiTheme="minorHAnsi" w:hAnsiTheme="minorHAnsi" w:cstheme="minorHAnsi"/>
          <w:color w:val="FF0000"/>
        </w:rPr>
      </w:pPr>
      <w:r w:rsidRPr="00BE0751">
        <w:rPr>
          <w:rFonts w:asciiTheme="minorHAnsi" w:hAnsiTheme="minorHAnsi" w:cstheme="minorHAnsi"/>
        </w:rPr>
        <w:t xml:space="preserve">The Connecticut Department of Housing (DOH) and Department of Mental Health and Addiction Services (DMHAS) </w:t>
      </w:r>
      <w:r w:rsidR="00E659F6" w:rsidRPr="00BE0751">
        <w:rPr>
          <w:rFonts w:asciiTheme="minorHAnsi" w:hAnsiTheme="minorHAnsi" w:cstheme="minorHAnsi"/>
        </w:rPr>
        <w:t xml:space="preserve">previously </w:t>
      </w:r>
      <w:r w:rsidRPr="00BE0751">
        <w:rPr>
          <w:rFonts w:asciiTheme="minorHAnsi" w:hAnsiTheme="minorHAnsi" w:cstheme="minorHAnsi"/>
        </w:rPr>
        <w:t xml:space="preserve">notified HUD of their intent to use </w:t>
      </w:r>
      <w:r w:rsidR="00E659F6" w:rsidRPr="00BE0751">
        <w:rPr>
          <w:rFonts w:asciiTheme="minorHAnsi" w:hAnsiTheme="minorHAnsi" w:cstheme="minorHAnsi"/>
        </w:rPr>
        <w:t>the original set of</w:t>
      </w:r>
      <w:r w:rsidRPr="00BE0751">
        <w:rPr>
          <w:rFonts w:asciiTheme="minorHAnsi" w:hAnsiTheme="minorHAnsi" w:cstheme="minorHAnsi"/>
        </w:rPr>
        <w:t xml:space="preserve"> waivers.</w:t>
      </w:r>
      <w:r w:rsidR="00E659F6" w:rsidRPr="00BE0751">
        <w:rPr>
          <w:rFonts w:asciiTheme="minorHAnsi" w:hAnsiTheme="minorHAnsi" w:cstheme="minorHAnsi"/>
        </w:rPr>
        <w:t xml:space="preserve">  </w:t>
      </w:r>
      <w:r w:rsidR="00E659F6" w:rsidRPr="00446A0D">
        <w:rPr>
          <w:rFonts w:asciiTheme="minorHAnsi" w:hAnsiTheme="minorHAnsi" w:cstheme="minorHAnsi"/>
        </w:rPr>
        <w:t>Both agencies will also notify HUD by</w:t>
      </w:r>
      <w:r w:rsidR="003A13B8" w:rsidRPr="00446A0D">
        <w:rPr>
          <w:rFonts w:asciiTheme="minorHAnsi" w:hAnsiTheme="minorHAnsi" w:cstheme="minorHAnsi"/>
        </w:rPr>
        <w:t xml:space="preserve"> 5/29/20</w:t>
      </w:r>
      <w:r w:rsidR="00E659F6" w:rsidRPr="00446A0D">
        <w:rPr>
          <w:rFonts w:asciiTheme="minorHAnsi" w:hAnsiTheme="minorHAnsi" w:cstheme="minorHAnsi"/>
        </w:rPr>
        <w:t xml:space="preserve"> of their intent to use all newly available waivers.</w:t>
      </w:r>
      <w:r w:rsidRPr="00BE0751">
        <w:rPr>
          <w:rFonts w:asciiTheme="minorHAnsi" w:hAnsiTheme="minorHAnsi" w:cstheme="minorHAnsi"/>
        </w:rPr>
        <w:t xml:space="preserve"> This notification covers all DMHAS and DOH CoC and ESG projects.  Subrecipients of DMHAS and DOH CoC and ESG projects may </w:t>
      </w:r>
      <w:r w:rsidR="003A13B8" w:rsidRPr="00BE0751">
        <w:rPr>
          <w:rFonts w:asciiTheme="minorHAnsi" w:hAnsiTheme="minorHAnsi" w:cstheme="minorHAnsi"/>
        </w:rPr>
        <w:t xml:space="preserve">already use </w:t>
      </w:r>
      <w:r w:rsidRPr="00BE0751">
        <w:rPr>
          <w:rFonts w:asciiTheme="minorHAnsi" w:hAnsiTheme="minorHAnsi" w:cstheme="minorHAnsi"/>
        </w:rPr>
        <w:t xml:space="preserve">the flexibility available through the </w:t>
      </w:r>
      <w:r w:rsidR="003A13B8" w:rsidRPr="00BE0751">
        <w:rPr>
          <w:rFonts w:asciiTheme="minorHAnsi" w:hAnsiTheme="minorHAnsi" w:cstheme="minorHAnsi"/>
        </w:rPr>
        <w:t xml:space="preserve">original </w:t>
      </w:r>
      <w:r w:rsidRPr="00BE0751">
        <w:rPr>
          <w:rFonts w:asciiTheme="minorHAnsi" w:hAnsiTheme="minorHAnsi" w:cstheme="minorHAnsi"/>
        </w:rPr>
        <w:t>waivers</w:t>
      </w:r>
      <w:r w:rsidR="003A13B8" w:rsidRPr="00BE0751">
        <w:rPr>
          <w:rFonts w:asciiTheme="minorHAnsi" w:hAnsiTheme="minorHAnsi" w:cstheme="minorHAnsi"/>
        </w:rPr>
        <w:t xml:space="preserve"> and </w:t>
      </w:r>
      <w:r w:rsidR="003A13B8" w:rsidRPr="00BE0751">
        <w:rPr>
          <w:rFonts w:asciiTheme="minorHAnsi" w:hAnsiTheme="minorHAnsi" w:cstheme="minorHAnsi"/>
          <w:color w:val="FF0000"/>
        </w:rPr>
        <w:t>may begin using the new waiver flexibility effective 5/31/20</w:t>
      </w:r>
      <w:r w:rsidRPr="00BE0751">
        <w:rPr>
          <w:rFonts w:asciiTheme="minorHAnsi" w:hAnsiTheme="minorHAnsi" w:cstheme="minorHAnsi"/>
          <w:color w:val="FF0000"/>
        </w:rPr>
        <w:t xml:space="preserve">. </w:t>
      </w:r>
    </w:p>
    <w:p w14:paraId="59F49398" w14:textId="77777777" w:rsidR="00BE0751" w:rsidRPr="00BE0751" w:rsidRDefault="00BE0751" w:rsidP="00E72182">
      <w:pPr>
        <w:jc w:val="both"/>
        <w:rPr>
          <w:rFonts w:asciiTheme="minorHAnsi" w:hAnsiTheme="minorHAnsi" w:cstheme="minorHAnsi"/>
        </w:rPr>
      </w:pPr>
    </w:p>
    <w:p w14:paraId="1FCF5F85" w14:textId="1F1768D7" w:rsidR="00E72182" w:rsidRPr="00BE0751" w:rsidRDefault="00226CCF" w:rsidP="00CD0907">
      <w:pPr>
        <w:tabs>
          <w:tab w:val="left" w:pos="1170"/>
        </w:tabs>
        <w:rPr>
          <w:rFonts w:asciiTheme="minorHAnsi" w:hAnsiTheme="minorHAnsi" w:cstheme="minorHAnsi"/>
        </w:rPr>
      </w:pPr>
      <w:r w:rsidRPr="00BE0751">
        <w:rPr>
          <w:rFonts w:asciiTheme="minorHAnsi" w:hAnsiTheme="minorHAnsi" w:cstheme="minorHAnsi"/>
          <w:b/>
          <w:bCs/>
          <w:u w:val="single"/>
        </w:rPr>
        <w:t xml:space="preserve">NOTE: </w:t>
      </w:r>
      <w:r w:rsidR="00E72182" w:rsidRPr="00BE0751">
        <w:rPr>
          <w:rFonts w:asciiTheme="minorHAnsi" w:hAnsiTheme="minorHAnsi" w:cstheme="minorHAnsi"/>
          <w:b/>
          <w:bCs/>
          <w:u w:val="single"/>
        </w:rPr>
        <w:t>DOH</w:t>
      </w:r>
      <w:r w:rsidR="00793596" w:rsidRPr="00BE0751">
        <w:rPr>
          <w:rFonts w:asciiTheme="minorHAnsi" w:hAnsiTheme="minorHAnsi" w:cstheme="minorHAnsi"/>
          <w:b/>
          <w:bCs/>
          <w:u w:val="single"/>
        </w:rPr>
        <w:t>/</w:t>
      </w:r>
      <w:r w:rsidR="00E72182" w:rsidRPr="00BE0751">
        <w:rPr>
          <w:rFonts w:asciiTheme="minorHAnsi" w:hAnsiTheme="minorHAnsi" w:cstheme="minorHAnsi"/>
          <w:b/>
          <w:bCs/>
          <w:u w:val="single"/>
        </w:rPr>
        <w:t xml:space="preserve">DMHAS SUBRECIPIENTS SHOULD NOT SUBMIT WAIVER </w:t>
      </w:r>
      <w:r w:rsidR="00793596" w:rsidRPr="00BE0751">
        <w:rPr>
          <w:rFonts w:asciiTheme="minorHAnsi" w:hAnsiTheme="minorHAnsi" w:cstheme="minorHAnsi"/>
          <w:b/>
          <w:bCs/>
          <w:u w:val="single"/>
        </w:rPr>
        <w:t>NOTIFICATIONS</w:t>
      </w:r>
      <w:r w:rsidR="00E72182" w:rsidRPr="00BE0751">
        <w:rPr>
          <w:rFonts w:asciiTheme="minorHAnsi" w:hAnsiTheme="minorHAnsi" w:cstheme="minorHAnsi"/>
          <w:b/>
          <w:bCs/>
          <w:u w:val="single"/>
        </w:rPr>
        <w:t xml:space="preserve"> TO HUD</w:t>
      </w:r>
      <w:r w:rsidR="00E72182" w:rsidRPr="00BE0751">
        <w:rPr>
          <w:rFonts w:asciiTheme="minorHAnsi" w:hAnsiTheme="minorHAnsi" w:cstheme="minorHAnsi"/>
          <w:b/>
          <w:bCs/>
        </w:rPr>
        <w:t>.</w:t>
      </w:r>
    </w:p>
    <w:p w14:paraId="1EA8E24E" w14:textId="77777777" w:rsidR="00BE0751" w:rsidRDefault="00E72182" w:rsidP="00F82FF8">
      <w:pPr>
        <w:jc w:val="both"/>
        <w:rPr>
          <w:rFonts w:asciiTheme="minorHAnsi" w:hAnsiTheme="minorHAnsi" w:cstheme="minorHAnsi"/>
        </w:rPr>
      </w:pPr>
      <w:r w:rsidRPr="00BE0751">
        <w:rPr>
          <w:rFonts w:asciiTheme="minorHAnsi" w:hAnsiTheme="minorHAnsi" w:cstheme="minorHAnsi"/>
        </w:rPr>
        <w:lastRenderedPageBreak/>
        <w:t xml:space="preserve">Subrecipients of ESG funds administered by a recipient </w:t>
      </w:r>
      <w:r w:rsidRPr="00BE0751">
        <w:rPr>
          <w:rFonts w:asciiTheme="minorHAnsi" w:hAnsiTheme="minorHAnsi" w:cstheme="minorHAnsi"/>
          <w:b/>
        </w:rPr>
        <w:t>other than DOH</w:t>
      </w:r>
      <w:r w:rsidRPr="00BE0751">
        <w:rPr>
          <w:rFonts w:asciiTheme="minorHAnsi" w:hAnsiTheme="minorHAnsi" w:cstheme="minorHAnsi"/>
        </w:rPr>
        <w:t xml:space="preserve">, should coordinate with the relevant ESG recipient to determine what waivers they intend to use. </w:t>
      </w:r>
      <w:r w:rsidR="00201118" w:rsidRPr="00BE0751">
        <w:rPr>
          <w:rFonts w:asciiTheme="minorHAnsi" w:hAnsiTheme="minorHAnsi" w:cstheme="minorHAnsi"/>
        </w:rPr>
        <w:t>The recipient of grant funds must notify Alanna Kabel (CPD Director of the Hartford Field Office) in writing no less than</w:t>
      </w:r>
      <w:r w:rsidR="00DE618E" w:rsidRPr="00BE0751">
        <w:rPr>
          <w:rFonts w:asciiTheme="minorHAnsi" w:hAnsiTheme="minorHAnsi" w:cstheme="minorHAnsi"/>
        </w:rPr>
        <w:t xml:space="preserve"> </w:t>
      </w:r>
      <w:r w:rsidR="00201118" w:rsidRPr="00BE0751">
        <w:rPr>
          <w:rFonts w:asciiTheme="minorHAnsi" w:hAnsiTheme="minorHAnsi" w:cstheme="minorHAnsi"/>
        </w:rPr>
        <w:t>two</w:t>
      </w:r>
      <w:r w:rsidR="00DE618E" w:rsidRPr="00BE0751">
        <w:rPr>
          <w:rFonts w:asciiTheme="minorHAnsi" w:hAnsiTheme="minorHAnsi" w:cstheme="minorHAnsi"/>
        </w:rPr>
        <w:t xml:space="preserve"> calendar</w:t>
      </w:r>
      <w:r w:rsidR="00201118" w:rsidRPr="00BE0751">
        <w:rPr>
          <w:rFonts w:asciiTheme="minorHAnsi" w:hAnsiTheme="minorHAnsi" w:cstheme="minorHAnsi"/>
        </w:rPr>
        <w:t xml:space="preserve"> days before using the waiver flexibility</w:t>
      </w:r>
      <w:r w:rsidR="00412CC4" w:rsidRPr="00BE0751">
        <w:rPr>
          <w:rFonts w:asciiTheme="minorHAnsi" w:hAnsiTheme="minorHAnsi" w:cstheme="minorHAnsi"/>
        </w:rPr>
        <w:t>.</w:t>
      </w:r>
      <w:r w:rsidR="00201118" w:rsidRPr="00BE0751">
        <w:rPr>
          <w:rFonts w:asciiTheme="minorHAnsi" w:hAnsiTheme="minorHAnsi" w:cstheme="minorHAnsi"/>
        </w:rPr>
        <w:t xml:space="preserve"> </w:t>
      </w:r>
      <w:r w:rsidR="00412CC4" w:rsidRPr="00BE0751">
        <w:rPr>
          <w:rFonts w:asciiTheme="minorHAnsi" w:hAnsiTheme="minorHAnsi" w:cstheme="minorHAnsi"/>
        </w:rPr>
        <w:t xml:space="preserve"> </w:t>
      </w:r>
      <w:r w:rsidR="003A13B8" w:rsidRPr="00BE0751">
        <w:rPr>
          <w:rFonts w:asciiTheme="minorHAnsi" w:hAnsiTheme="minorHAnsi" w:cstheme="minorHAnsi"/>
          <w:color w:val="FF0000"/>
        </w:rPr>
        <w:t>This includes both the original waivers and those that are newly available.</w:t>
      </w:r>
      <w:r w:rsidR="003A13B8" w:rsidRPr="00BE0751">
        <w:rPr>
          <w:rFonts w:asciiTheme="minorHAnsi" w:hAnsiTheme="minorHAnsi" w:cstheme="minorHAnsi"/>
        </w:rPr>
        <w:t xml:space="preserve">  </w:t>
      </w:r>
      <w:r w:rsidR="00201118" w:rsidRPr="00BE0751">
        <w:rPr>
          <w:rFonts w:asciiTheme="minorHAnsi" w:hAnsiTheme="minorHAnsi" w:cstheme="minorHAnsi"/>
          <w:b/>
          <w:bCs/>
        </w:rPr>
        <w:t xml:space="preserve">WAIVER REQUESTS MUST BE SUBMITTED TO: </w:t>
      </w:r>
      <w:hyperlink r:id="rId11" w:history="1">
        <w:r w:rsidR="00201118" w:rsidRPr="00BE0751">
          <w:rPr>
            <w:rStyle w:val="Hyperlink"/>
            <w:rFonts w:asciiTheme="minorHAnsi" w:hAnsiTheme="minorHAnsi" w:cstheme="minorHAnsi"/>
          </w:rPr>
          <w:t>CPD_COVID-19WaiverHAT@hud.gov</w:t>
        </w:r>
      </w:hyperlink>
      <w:r w:rsidR="00412CC4" w:rsidRPr="00BE0751">
        <w:rPr>
          <w:rFonts w:asciiTheme="minorHAnsi" w:hAnsiTheme="minorHAnsi" w:cstheme="minorHAnsi"/>
        </w:rPr>
        <w:t>.</w:t>
      </w:r>
    </w:p>
    <w:p w14:paraId="352A9573" w14:textId="16CF02BE" w:rsidR="00E72182" w:rsidRPr="00BE0751" w:rsidRDefault="00412CC4" w:rsidP="00F82FF8">
      <w:pPr>
        <w:jc w:val="both"/>
        <w:rPr>
          <w:rFonts w:asciiTheme="minorHAnsi" w:hAnsiTheme="minorHAnsi" w:cstheme="minorHAnsi"/>
        </w:rPr>
      </w:pPr>
      <w:r w:rsidRPr="00BE0751">
        <w:rPr>
          <w:rFonts w:asciiTheme="minorHAnsi" w:hAnsiTheme="minorHAnsi" w:cstheme="minorHAnsi"/>
        </w:rPr>
        <w:t xml:space="preserve"> </w:t>
      </w:r>
    </w:p>
    <w:p w14:paraId="3241BCA0" w14:textId="15A132EB" w:rsidR="00FB1E53" w:rsidRDefault="00DE618E" w:rsidP="00FB1E53">
      <w:r w:rsidRPr="00BE0751">
        <w:rPr>
          <w:rFonts w:asciiTheme="minorHAnsi" w:hAnsiTheme="minorHAnsi" w:cstheme="minorHAnsi"/>
        </w:rPr>
        <w:t xml:space="preserve">If your agency has a CoC grant agreement </w:t>
      </w:r>
      <w:r w:rsidR="00226CCF" w:rsidRPr="00BE0751">
        <w:rPr>
          <w:rFonts w:asciiTheme="minorHAnsi" w:hAnsiTheme="minorHAnsi" w:cstheme="minorHAnsi"/>
        </w:rPr>
        <w:t xml:space="preserve">directly </w:t>
      </w:r>
      <w:r w:rsidRPr="00BE0751">
        <w:rPr>
          <w:rFonts w:asciiTheme="minorHAnsi" w:hAnsiTheme="minorHAnsi" w:cstheme="minorHAnsi"/>
        </w:rPr>
        <w:t>with HUD, you must s</w:t>
      </w:r>
      <w:r w:rsidR="00201118" w:rsidRPr="00BE0751">
        <w:rPr>
          <w:rFonts w:asciiTheme="minorHAnsi" w:hAnsiTheme="minorHAnsi" w:cstheme="minorHAnsi"/>
        </w:rPr>
        <w:t xml:space="preserve">ubmit </w:t>
      </w:r>
      <w:r w:rsidR="00412CC4" w:rsidRPr="00BE0751">
        <w:rPr>
          <w:rFonts w:asciiTheme="minorHAnsi" w:hAnsiTheme="minorHAnsi" w:cstheme="minorHAnsi"/>
        </w:rPr>
        <w:t>a</w:t>
      </w:r>
      <w:r w:rsidR="00201118" w:rsidRPr="00BE0751">
        <w:rPr>
          <w:rFonts w:asciiTheme="minorHAnsi" w:hAnsiTheme="minorHAnsi" w:cstheme="minorHAnsi"/>
        </w:rPr>
        <w:t xml:space="preserve"> </w:t>
      </w:r>
      <w:r w:rsidRPr="00BE0751">
        <w:rPr>
          <w:rFonts w:asciiTheme="minorHAnsi" w:hAnsiTheme="minorHAnsi" w:cstheme="minorHAnsi"/>
        </w:rPr>
        <w:t>notification to HUD that you will be using the flexibility provided by the waivers and specify the waivers you will be implementing.</w:t>
      </w:r>
      <w:r w:rsidR="003A13B8" w:rsidRPr="00BE0751">
        <w:rPr>
          <w:rFonts w:asciiTheme="minorHAnsi" w:hAnsiTheme="minorHAnsi" w:cstheme="minorHAnsi"/>
        </w:rPr>
        <w:t xml:space="preserve"> </w:t>
      </w:r>
      <w:r w:rsidR="003A13B8" w:rsidRPr="00BE0751">
        <w:rPr>
          <w:rFonts w:asciiTheme="minorHAnsi" w:hAnsiTheme="minorHAnsi" w:cstheme="minorHAnsi"/>
          <w:color w:val="FF0000"/>
        </w:rPr>
        <w:t>This includes both the original waivers and those that are newly available.</w:t>
      </w:r>
      <w:r w:rsidRPr="00BE0751">
        <w:rPr>
          <w:rFonts w:asciiTheme="minorHAnsi" w:hAnsiTheme="minorHAnsi" w:cstheme="minorHAnsi"/>
          <w:color w:val="FF0000"/>
        </w:rPr>
        <w:t xml:space="preserve"> </w:t>
      </w:r>
      <w:r w:rsidR="00201118" w:rsidRPr="00BE0751">
        <w:rPr>
          <w:rFonts w:asciiTheme="minorHAnsi" w:hAnsiTheme="minorHAnsi" w:cstheme="minorHAnsi"/>
        </w:rPr>
        <w:t xml:space="preserve"> </w:t>
      </w:r>
      <w:r w:rsidR="003A13B8" w:rsidRPr="00BE0751">
        <w:rPr>
          <w:rFonts w:asciiTheme="minorHAnsi" w:hAnsiTheme="minorHAnsi" w:cstheme="minorHAnsi"/>
        </w:rPr>
        <w:t>CT BOS has updated its</w:t>
      </w:r>
      <w:r w:rsidR="00201118" w:rsidRPr="00BE0751">
        <w:rPr>
          <w:rFonts w:asciiTheme="minorHAnsi" w:hAnsiTheme="minorHAnsi" w:cstheme="minorHAnsi"/>
        </w:rPr>
        <w:t xml:space="preserve"> </w:t>
      </w:r>
      <w:hyperlink r:id="rId12" w:history="1">
        <w:r w:rsidR="00201118" w:rsidRPr="00007E16">
          <w:rPr>
            <w:rStyle w:val="Hyperlink"/>
            <w:rFonts w:asciiTheme="minorHAnsi" w:hAnsiTheme="minorHAnsi" w:cstheme="minorHAnsi"/>
          </w:rPr>
          <w:t xml:space="preserve">waiver </w:t>
        </w:r>
        <w:r w:rsidR="003A13B8" w:rsidRPr="00007E16">
          <w:rPr>
            <w:rStyle w:val="Hyperlink"/>
            <w:rFonts w:asciiTheme="minorHAnsi" w:hAnsiTheme="minorHAnsi" w:cstheme="minorHAnsi"/>
          </w:rPr>
          <w:t xml:space="preserve">notification </w:t>
        </w:r>
        <w:r w:rsidR="00201118" w:rsidRPr="00007E16">
          <w:rPr>
            <w:rStyle w:val="Hyperlink"/>
            <w:rFonts w:asciiTheme="minorHAnsi" w:hAnsiTheme="minorHAnsi" w:cstheme="minorHAnsi"/>
          </w:rPr>
          <w:t>templat</w:t>
        </w:r>
        <w:r w:rsidR="002F0A8B" w:rsidRPr="00007E16">
          <w:rPr>
            <w:rStyle w:val="Hyperlink"/>
            <w:rFonts w:asciiTheme="minorHAnsi" w:hAnsiTheme="minorHAnsi" w:cstheme="minorHAnsi"/>
          </w:rPr>
          <w:t>e</w:t>
        </w:r>
      </w:hyperlink>
      <w:r w:rsidR="00201118" w:rsidRPr="00BE0751">
        <w:rPr>
          <w:rFonts w:asciiTheme="minorHAnsi" w:hAnsiTheme="minorHAnsi" w:cstheme="minorHAnsi"/>
        </w:rPr>
        <w:t xml:space="preserve"> </w:t>
      </w:r>
      <w:r w:rsidR="003A13B8" w:rsidRPr="00BE0751">
        <w:rPr>
          <w:rFonts w:asciiTheme="minorHAnsi" w:hAnsiTheme="minorHAnsi" w:cstheme="minorHAnsi"/>
        </w:rPr>
        <w:t>to include the new waivers.</w:t>
      </w:r>
      <w:r w:rsidR="00FB1E53">
        <w:rPr>
          <w:rFonts w:asciiTheme="minorHAnsi" w:hAnsiTheme="minorHAnsi" w:cstheme="minorHAnsi"/>
        </w:rPr>
        <w:t xml:space="preserve"> </w:t>
      </w:r>
      <w:r w:rsidR="00FB1E53" w:rsidRPr="00FB1E53">
        <w:rPr>
          <w:rFonts w:ascii="Calibri" w:hAnsi="Calibri" w:cs="Calibri"/>
          <w:color w:val="000000" w:themeColor="text1"/>
        </w:rPr>
        <w:t>Agencies that have a CoC grant agreement directly with HUD are encouraged to use the materials created by BOS.</w:t>
      </w:r>
    </w:p>
    <w:p w14:paraId="0A43AE87" w14:textId="77777777" w:rsidR="00CD0907" w:rsidRDefault="00CD0907" w:rsidP="00F82FF8">
      <w:pPr>
        <w:jc w:val="both"/>
        <w:rPr>
          <w:rFonts w:asciiTheme="minorHAnsi" w:hAnsiTheme="minorHAnsi" w:cstheme="minorHAnsi"/>
        </w:rPr>
      </w:pPr>
    </w:p>
    <w:p w14:paraId="0E0DB6D1" w14:textId="1961AA44" w:rsidR="00F72309" w:rsidRDefault="00DE618E" w:rsidP="00F82FF8">
      <w:pPr>
        <w:jc w:val="both"/>
        <w:rPr>
          <w:rFonts w:asciiTheme="minorHAnsi" w:hAnsiTheme="minorHAnsi" w:cstheme="minorHAnsi"/>
          <w:b/>
          <w:bCs/>
        </w:rPr>
      </w:pPr>
      <w:r w:rsidRPr="00BE0751">
        <w:rPr>
          <w:rFonts w:asciiTheme="minorHAnsi" w:hAnsiTheme="minorHAnsi" w:cstheme="minorHAnsi"/>
        </w:rPr>
        <w:t xml:space="preserve">HUD approval is </w:t>
      </w:r>
      <w:r w:rsidR="00201118" w:rsidRPr="00BE0751">
        <w:rPr>
          <w:rFonts w:asciiTheme="minorHAnsi" w:hAnsiTheme="minorHAnsi" w:cstheme="minorHAnsi"/>
        </w:rPr>
        <w:t>not necessary</w:t>
      </w:r>
      <w:r w:rsidRPr="00BE0751">
        <w:rPr>
          <w:rFonts w:asciiTheme="minorHAnsi" w:hAnsiTheme="minorHAnsi" w:cstheme="minorHAnsi"/>
        </w:rPr>
        <w:t xml:space="preserve"> – only notification.</w:t>
      </w:r>
      <w:r w:rsidR="00201118" w:rsidRPr="00BE0751">
        <w:rPr>
          <w:rFonts w:asciiTheme="minorHAnsi" w:hAnsiTheme="minorHAnsi" w:cstheme="minorHAnsi"/>
        </w:rPr>
        <w:t xml:space="preserve"> Providers can proceed to </w:t>
      </w:r>
      <w:r w:rsidR="00706106" w:rsidRPr="00BE0751">
        <w:rPr>
          <w:rFonts w:asciiTheme="minorHAnsi" w:hAnsiTheme="minorHAnsi" w:cstheme="minorHAnsi"/>
        </w:rPr>
        <w:t>use the available waivers two</w:t>
      </w:r>
      <w:r w:rsidR="00201118" w:rsidRPr="00BE0751">
        <w:rPr>
          <w:rFonts w:asciiTheme="minorHAnsi" w:hAnsiTheme="minorHAnsi" w:cstheme="minorHAnsi"/>
        </w:rPr>
        <w:t xml:space="preserve"> </w:t>
      </w:r>
      <w:r w:rsidR="00E15FAC" w:rsidRPr="00BE0751">
        <w:rPr>
          <w:rFonts w:asciiTheme="minorHAnsi" w:hAnsiTheme="minorHAnsi" w:cstheme="minorHAnsi"/>
        </w:rPr>
        <w:t xml:space="preserve">calendar </w:t>
      </w:r>
      <w:r w:rsidR="00201118" w:rsidRPr="00BE0751">
        <w:rPr>
          <w:rFonts w:asciiTheme="minorHAnsi" w:hAnsiTheme="minorHAnsi" w:cstheme="minorHAnsi"/>
        </w:rPr>
        <w:t xml:space="preserve">days after the </w:t>
      </w:r>
      <w:r w:rsidR="00CD0907">
        <w:rPr>
          <w:rFonts w:asciiTheme="minorHAnsi" w:hAnsiTheme="minorHAnsi" w:cstheme="minorHAnsi"/>
        </w:rPr>
        <w:t xml:space="preserve">grant </w:t>
      </w:r>
      <w:r w:rsidR="00201118" w:rsidRPr="00BE0751">
        <w:rPr>
          <w:rFonts w:asciiTheme="minorHAnsi" w:hAnsiTheme="minorHAnsi" w:cstheme="minorHAnsi"/>
        </w:rPr>
        <w:t xml:space="preserve">recipient submits the notification to HUD. </w:t>
      </w:r>
      <w:r w:rsidR="00F72309" w:rsidRPr="00BE0751">
        <w:rPr>
          <w:rFonts w:asciiTheme="minorHAnsi" w:hAnsiTheme="minorHAnsi" w:cstheme="minorHAnsi"/>
          <w:b/>
          <w:bCs/>
        </w:rPr>
        <w:t xml:space="preserve">Please also submit to </w:t>
      </w:r>
      <w:hyperlink r:id="rId13" w:history="1">
        <w:r w:rsidR="00F72309" w:rsidRPr="00BE0751">
          <w:rPr>
            <w:rStyle w:val="Hyperlink"/>
            <w:rFonts w:asciiTheme="minorHAnsi" w:hAnsiTheme="minorHAnsi" w:cstheme="minorHAnsi"/>
            <w:b/>
            <w:bCs/>
          </w:rPr>
          <w:t>ctboscoc@gmail.com</w:t>
        </w:r>
      </w:hyperlink>
      <w:r w:rsidR="00F72309" w:rsidRPr="00BE0751">
        <w:rPr>
          <w:rFonts w:asciiTheme="minorHAnsi" w:hAnsiTheme="minorHAnsi" w:cstheme="minorHAnsi"/>
          <w:b/>
          <w:bCs/>
        </w:rPr>
        <w:t xml:space="preserve"> a copy of all waiver notifications submitted by your agency to HUD.</w:t>
      </w:r>
    </w:p>
    <w:p w14:paraId="74B6DD7E" w14:textId="77777777" w:rsidR="00BE0751" w:rsidRPr="00BE0751" w:rsidRDefault="00BE0751" w:rsidP="00F82FF8">
      <w:pPr>
        <w:jc w:val="both"/>
        <w:rPr>
          <w:rFonts w:asciiTheme="minorHAnsi" w:hAnsiTheme="minorHAnsi" w:cstheme="minorHAnsi"/>
          <w:b/>
          <w:bCs/>
        </w:rPr>
      </w:pPr>
    </w:p>
    <w:p w14:paraId="4EFA158F" w14:textId="265C30BF" w:rsidR="00EF08BB" w:rsidRDefault="00EF08BB" w:rsidP="00F82FF8">
      <w:pPr>
        <w:jc w:val="both"/>
        <w:rPr>
          <w:rFonts w:asciiTheme="minorHAnsi" w:hAnsiTheme="minorHAnsi" w:cstheme="minorHAnsi"/>
          <w:b/>
          <w:bCs/>
          <w:u w:val="single"/>
        </w:rPr>
      </w:pPr>
      <w:r w:rsidRPr="00BE0751">
        <w:rPr>
          <w:rFonts w:asciiTheme="minorHAnsi" w:hAnsiTheme="minorHAnsi" w:cstheme="minorHAnsi"/>
          <w:b/>
          <w:bCs/>
          <w:u w:val="single"/>
        </w:rPr>
        <w:t>COC GRANTEES WISHING TO USE WAIVERS MUST ADOPT CERTAIN POLICIES &amp; MAINTAIN CERTAIN DOCUMENTATION</w:t>
      </w:r>
    </w:p>
    <w:p w14:paraId="39C6E089" w14:textId="77777777" w:rsidR="00BE0751" w:rsidRPr="00BE0751" w:rsidRDefault="00BE0751" w:rsidP="00F82FF8">
      <w:pPr>
        <w:jc w:val="both"/>
        <w:rPr>
          <w:rFonts w:asciiTheme="minorHAnsi" w:hAnsiTheme="minorHAnsi" w:cstheme="minorHAnsi"/>
          <w:b/>
          <w:bCs/>
        </w:rPr>
      </w:pPr>
    </w:p>
    <w:p w14:paraId="438FA4A9" w14:textId="7016DDAE" w:rsidR="00F72309" w:rsidRDefault="00F72309" w:rsidP="00F82FF8">
      <w:pPr>
        <w:jc w:val="both"/>
        <w:rPr>
          <w:rFonts w:asciiTheme="minorHAnsi" w:hAnsiTheme="minorHAnsi" w:cstheme="minorHAnsi"/>
        </w:rPr>
      </w:pPr>
      <w:r w:rsidRPr="00BE0751">
        <w:rPr>
          <w:rFonts w:asciiTheme="minorHAnsi" w:hAnsiTheme="minorHAnsi" w:cstheme="minorHAnsi"/>
        </w:rPr>
        <w:t xml:space="preserve">Certain agency policies are also </w:t>
      </w:r>
      <w:r w:rsidRPr="00F72309">
        <w:rPr>
          <w:rFonts w:asciiTheme="minorHAnsi" w:eastAsiaTheme="minorEastAsia" w:hAnsiTheme="minorHAnsi" w:cstheme="minorHAnsi"/>
        </w:rPr>
        <w:t>required by HUD to enable use of COVID-19 waivers</w:t>
      </w:r>
      <w:r w:rsidRPr="00BE0751">
        <w:rPr>
          <w:rFonts w:asciiTheme="minorHAnsi" w:hAnsiTheme="minorHAnsi" w:cstheme="minorHAnsi"/>
        </w:rPr>
        <w:t xml:space="preserve">.   The necessary content is included in the CT BOS </w:t>
      </w:r>
      <w:hyperlink r:id="rId14" w:history="1">
        <w:r w:rsidRPr="000823E9">
          <w:rPr>
            <w:rStyle w:val="Hyperlink"/>
            <w:rFonts w:asciiTheme="minorHAnsi" w:hAnsiTheme="minorHAnsi" w:cstheme="minorHAnsi"/>
          </w:rPr>
          <w:t>Sample Emergency Operation Policy</w:t>
        </w:r>
      </w:hyperlink>
      <w:r w:rsidRPr="00BE0751">
        <w:rPr>
          <w:rFonts w:asciiTheme="minorHAnsi" w:hAnsiTheme="minorHAnsi" w:cstheme="minorHAnsi"/>
        </w:rPr>
        <w:t xml:space="preserve">. </w:t>
      </w:r>
      <w:r w:rsidR="00EF08BB" w:rsidRPr="00BE0751">
        <w:rPr>
          <w:rFonts w:asciiTheme="minorHAnsi" w:hAnsiTheme="minorHAnsi" w:cstheme="minorHAnsi"/>
        </w:rPr>
        <w:t xml:space="preserve">HUD also requires special waiver-related </w:t>
      </w:r>
      <w:r w:rsidRPr="00F72309">
        <w:rPr>
          <w:rFonts w:asciiTheme="minorHAnsi" w:eastAsiaTheme="minorEastAsia" w:hAnsiTheme="minorHAnsi" w:cstheme="minorHAnsi"/>
        </w:rPr>
        <w:t>record keeping in participant files</w:t>
      </w:r>
      <w:r w:rsidR="00EF08BB" w:rsidRPr="00BE0751">
        <w:rPr>
          <w:rFonts w:asciiTheme="minorHAnsi" w:hAnsiTheme="minorHAnsi" w:cstheme="minorHAnsi"/>
        </w:rPr>
        <w:t>.  D</w:t>
      </w:r>
      <w:r w:rsidRPr="00F72309">
        <w:rPr>
          <w:rFonts w:asciiTheme="minorHAnsi" w:eastAsiaTheme="minorEastAsia" w:hAnsiTheme="minorHAnsi" w:cstheme="minorHAnsi"/>
        </w:rPr>
        <w:t>etail</w:t>
      </w:r>
      <w:r w:rsidR="00EF08BB" w:rsidRPr="00BE0751">
        <w:rPr>
          <w:rFonts w:asciiTheme="minorHAnsi" w:hAnsiTheme="minorHAnsi" w:cstheme="minorHAnsi"/>
        </w:rPr>
        <w:t xml:space="preserve">s about what is required are </w:t>
      </w:r>
      <w:r w:rsidRPr="00F72309">
        <w:rPr>
          <w:rFonts w:asciiTheme="minorHAnsi" w:eastAsiaTheme="minorEastAsia" w:hAnsiTheme="minorHAnsi" w:cstheme="minorHAnsi"/>
        </w:rPr>
        <w:t xml:space="preserve">included in sample </w:t>
      </w:r>
      <w:r w:rsidR="00EF08BB" w:rsidRPr="00BE0751">
        <w:rPr>
          <w:rFonts w:asciiTheme="minorHAnsi" w:hAnsiTheme="minorHAnsi" w:cstheme="minorHAnsi"/>
        </w:rPr>
        <w:t>policy</w:t>
      </w:r>
      <w:r w:rsidRPr="00F72309">
        <w:rPr>
          <w:rFonts w:asciiTheme="minorHAnsi" w:eastAsiaTheme="minorEastAsia" w:hAnsiTheme="minorHAnsi" w:cstheme="minorHAnsi"/>
        </w:rPr>
        <w:t xml:space="preserve"> linked above</w:t>
      </w:r>
      <w:r w:rsidR="00EF08BB" w:rsidRPr="00BE0751">
        <w:rPr>
          <w:rFonts w:asciiTheme="minorHAnsi" w:hAnsiTheme="minorHAnsi" w:cstheme="minorHAnsi"/>
        </w:rPr>
        <w:t>.</w:t>
      </w:r>
      <w:r w:rsidR="00CD0907">
        <w:rPr>
          <w:rFonts w:asciiTheme="minorHAnsi" w:hAnsiTheme="minorHAnsi" w:cstheme="minorHAnsi"/>
        </w:rPr>
        <w:t xml:space="preserve">  Grantees wishing to use either the original and/or new waivers must adopt emergency policies, similar to those included in the CT BOS sample policy linked above.</w:t>
      </w:r>
    </w:p>
    <w:p w14:paraId="398F8219" w14:textId="77777777" w:rsidR="00BE0751" w:rsidRPr="00BE0751" w:rsidRDefault="00BE0751" w:rsidP="00F82FF8">
      <w:pPr>
        <w:jc w:val="both"/>
        <w:rPr>
          <w:rFonts w:asciiTheme="minorHAnsi" w:hAnsiTheme="minorHAnsi" w:cstheme="minorHAnsi"/>
        </w:rPr>
      </w:pPr>
    </w:p>
    <w:p w14:paraId="6D6DB00D" w14:textId="517EC236" w:rsidR="00201118" w:rsidRDefault="008F1C7E" w:rsidP="00F82FF8">
      <w:pPr>
        <w:jc w:val="both"/>
        <w:rPr>
          <w:rFonts w:asciiTheme="minorHAnsi" w:hAnsiTheme="minorHAnsi" w:cstheme="minorHAnsi"/>
          <w:b/>
          <w:bCs/>
          <w:u w:val="single"/>
        </w:rPr>
      </w:pPr>
      <w:r w:rsidRPr="00BE0751">
        <w:rPr>
          <w:rFonts w:asciiTheme="minorHAnsi" w:hAnsiTheme="minorHAnsi" w:cstheme="minorHAnsi"/>
          <w:b/>
          <w:bCs/>
          <w:u w:val="single"/>
        </w:rPr>
        <w:t>AVAILABLE WAIVERS</w:t>
      </w:r>
    </w:p>
    <w:p w14:paraId="06ED7640" w14:textId="77777777" w:rsidR="00BE0751" w:rsidRPr="00BE0751" w:rsidRDefault="00BE0751" w:rsidP="00F82FF8">
      <w:pPr>
        <w:jc w:val="both"/>
        <w:rPr>
          <w:rFonts w:asciiTheme="minorHAnsi" w:hAnsiTheme="minorHAnsi" w:cstheme="minorHAnsi"/>
          <w:b/>
          <w:bCs/>
          <w:u w:val="single"/>
        </w:rPr>
      </w:pPr>
    </w:p>
    <w:p w14:paraId="74B2DDC9" w14:textId="7BE14062" w:rsidR="00EF08BB" w:rsidRPr="00BE0751" w:rsidRDefault="00EF08BB" w:rsidP="00F82FF8">
      <w:pPr>
        <w:jc w:val="both"/>
        <w:rPr>
          <w:rFonts w:asciiTheme="minorHAnsi" w:hAnsiTheme="minorHAnsi" w:cstheme="minorHAnsi"/>
          <w:color w:val="FF0000"/>
        </w:rPr>
      </w:pPr>
      <w:r w:rsidRPr="00BE0751">
        <w:rPr>
          <w:rFonts w:asciiTheme="minorHAnsi" w:hAnsiTheme="minorHAnsi" w:cstheme="minorHAnsi"/>
          <w:color w:val="FF0000"/>
        </w:rPr>
        <w:t xml:space="preserve">Please note that HUD has clarified that all applicable CoC waivers </w:t>
      </w:r>
      <w:r w:rsidR="00CD0907" w:rsidRPr="00BE0751">
        <w:rPr>
          <w:rFonts w:asciiTheme="minorHAnsi" w:hAnsiTheme="minorHAnsi" w:cstheme="minorHAnsi"/>
          <w:color w:val="FF0000"/>
        </w:rPr>
        <w:t xml:space="preserve">from both the original 3/31/20 HUD memo and the new </w:t>
      </w:r>
      <w:r w:rsidR="00CD0907">
        <w:rPr>
          <w:rFonts w:asciiTheme="minorHAnsi" w:hAnsiTheme="minorHAnsi" w:cstheme="minorHAnsi"/>
          <w:color w:val="FF0000"/>
        </w:rPr>
        <w:t xml:space="preserve">HUD </w:t>
      </w:r>
      <w:r w:rsidR="00CD0907" w:rsidRPr="00BE0751">
        <w:rPr>
          <w:rFonts w:asciiTheme="minorHAnsi" w:hAnsiTheme="minorHAnsi" w:cstheme="minorHAnsi"/>
          <w:color w:val="FF0000"/>
        </w:rPr>
        <w:t xml:space="preserve">memo </w:t>
      </w:r>
      <w:r w:rsidRPr="00BE0751">
        <w:rPr>
          <w:rFonts w:asciiTheme="minorHAnsi" w:hAnsiTheme="minorHAnsi" w:cstheme="minorHAnsi"/>
          <w:color w:val="FF0000"/>
        </w:rPr>
        <w:t>are also available for YHDP projects</w:t>
      </w:r>
      <w:r w:rsidR="00BC6D2A" w:rsidRPr="00BE0751">
        <w:rPr>
          <w:rFonts w:asciiTheme="minorHAnsi" w:hAnsiTheme="minorHAnsi" w:cstheme="minorHAnsi"/>
          <w:color w:val="FF0000"/>
        </w:rPr>
        <w:t xml:space="preserve">.   HUD has also extended the applicable ESG waivers from both the original </w:t>
      </w:r>
      <w:r w:rsidR="00CD0907">
        <w:rPr>
          <w:rFonts w:asciiTheme="minorHAnsi" w:hAnsiTheme="minorHAnsi" w:cstheme="minorHAnsi"/>
          <w:color w:val="FF0000"/>
        </w:rPr>
        <w:t>and new HUD</w:t>
      </w:r>
      <w:r w:rsidR="00BC6D2A" w:rsidRPr="00BE0751">
        <w:rPr>
          <w:rFonts w:asciiTheme="minorHAnsi" w:hAnsiTheme="minorHAnsi" w:cstheme="minorHAnsi"/>
          <w:color w:val="FF0000"/>
        </w:rPr>
        <w:t xml:space="preserve"> memo</w:t>
      </w:r>
      <w:r w:rsidR="00CD0907">
        <w:rPr>
          <w:rFonts w:asciiTheme="minorHAnsi" w:hAnsiTheme="minorHAnsi" w:cstheme="minorHAnsi"/>
          <w:color w:val="FF0000"/>
        </w:rPr>
        <w:t>s</w:t>
      </w:r>
      <w:r w:rsidR="00BC6D2A" w:rsidRPr="00BE0751">
        <w:rPr>
          <w:rFonts w:asciiTheme="minorHAnsi" w:hAnsiTheme="minorHAnsi" w:cstheme="minorHAnsi"/>
          <w:color w:val="FF0000"/>
        </w:rPr>
        <w:t xml:space="preserve"> to ESG CARES Act funds.</w:t>
      </w:r>
    </w:p>
    <w:p w14:paraId="668D8C21" w14:textId="77777777" w:rsidR="004B1DCB" w:rsidRPr="00EF08BB" w:rsidRDefault="004B1DCB" w:rsidP="00F82FF8">
      <w:pPr>
        <w:jc w:val="both"/>
        <w:rPr>
          <w:rFonts w:ascii="Calibri" w:hAnsi="Calibri"/>
          <w:color w:val="FF0000"/>
        </w:rPr>
      </w:pPr>
    </w:p>
    <w:p w14:paraId="69447E24" w14:textId="490D2944" w:rsidR="00BC6D2A" w:rsidRPr="00BC6D2A" w:rsidRDefault="00BC6D2A" w:rsidP="00BC6D2A">
      <w:pPr>
        <w:numPr>
          <w:ilvl w:val="0"/>
          <w:numId w:val="22"/>
        </w:numPr>
        <w:rPr>
          <w:rFonts w:ascii="Calibri" w:hAnsi="Calibri" w:cs="Calibri"/>
          <w:color w:val="FF0000"/>
        </w:rPr>
      </w:pPr>
      <w:r w:rsidRPr="00BC6D2A">
        <w:rPr>
          <w:rFonts w:ascii="Calibri" w:hAnsi="Calibri" w:cs="Calibri"/>
          <w:b/>
          <w:bCs/>
          <w:color w:val="FF0000"/>
        </w:rPr>
        <w:t xml:space="preserve">24-month rental assistance restriction is waived for CoC </w:t>
      </w:r>
      <w:r>
        <w:rPr>
          <w:rFonts w:ascii="Calibri" w:hAnsi="Calibri" w:cs="Calibri"/>
          <w:b/>
          <w:bCs/>
          <w:color w:val="FF0000"/>
        </w:rPr>
        <w:t>Rapid Rehousing (RRH)</w:t>
      </w:r>
    </w:p>
    <w:p w14:paraId="5809FC7C" w14:textId="77777777" w:rsidR="00BC6D2A" w:rsidRPr="00BC6D2A" w:rsidRDefault="00BC6D2A" w:rsidP="00BC6D2A">
      <w:pPr>
        <w:rPr>
          <w:rFonts w:ascii="Calibri" w:hAnsi="Calibri" w:cs="Calibri"/>
          <w:color w:val="FF0000"/>
        </w:rPr>
      </w:pPr>
    </w:p>
    <w:p w14:paraId="09476E24" w14:textId="76DBBFA8" w:rsidR="00BC6D2A" w:rsidRPr="00FB6201" w:rsidRDefault="00FB6201" w:rsidP="00FB6201">
      <w:r w:rsidRPr="00FB6201">
        <w:rPr>
          <w:rFonts w:ascii="Calibri" w:hAnsi="Calibri" w:cs="Calibri"/>
          <w:color w:val="FF0000"/>
        </w:rPr>
        <w:t xml:space="preserve">Beginning on 5/22/20 </w:t>
      </w:r>
      <w:r>
        <w:rPr>
          <w:rFonts w:ascii="Calibri" w:hAnsi="Calibri" w:cs="Calibri"/>
          <w:color w:val="FF0000"/>
        </w:rPr>
        <w:t xml:space="preserve">(assuming the required notification has been submitted to HUD) </w:t>
      </w:r>
      <w:r w:rsidRPr="00FB6201">
        <w:rPr>
          <w:rFonts w:ascii="Calibri" w:hAnsi="Calibri" w:cs="Calibri"/>
          <w:color w:val="FF0000"/>
        </w:rPr>
        <w:t>and </w:t>
      </w:r>
      <w:r>
        <w:rPr>
          <w:rFonts w:ascii="Calibri" w:hAnsi="Calibri" w:cs="Calibri"/>
          <w:color w:val="FF0000"/>
        </w:rPr>
        <w:t>u</w:t>
      </w:r>
      <w:r w:rsidR="00BC6D2A" w:rsidRPr="00BC6D2A">
        <w:rPr>
          <w:rFonts w:ascii="Calibri" w:hAnsi="Calibri" w:cs="Calibri"/>
          <w:color w:val="FF0000"/>
        </w:rPr>
        <w:t>ntil a state or local public health official has determined special measures are no longer necessary to prevent the spread of COVID-19, the </w:t>
      </w:r>
      <w:r w:rsidR="00BC6D2A" w:rsidRPr="00BC6D2A">
        <w:rPr>
          <w:rFonts w:ascii="Calibri" w:hAnsi="Calibri" w:cs="Calibri"/>
          <w:b/>
          <w:bCs/>
          <w:color w:val="FF0000"/>
        </w:rPr>
        <w:t>24-month rental assistance restriction is waived for CoC RRH</w:t>
      </w:r>
      <w:r w:rsidR="00BC6D2A" w:rsidRPr="00BC6D2A">
        <w:rPr>
          <w:rFonts w:ascii="Calibri" w:hAnsi="Calibri" w:cs="Calibri"/>
          <w:color w:val="FF0000"/>
        </w:rPr>
        <w:t>. Program participants who have reached 24 months of rental assistance during this time and who will not be able to afford their rent without additional rental assistance will be eligible to receive rental assistance until 3 months after a state or local public health official has made such a determination.</w:t>
      </w:r>
      <w:r w:rsidR="00BC6D2A">
        <w:rPr>
          <w:rFonts w:ascii="Calibri" w:hAnsi="Calibri" w:cs="Calibri"/>
          <w:color w:val="FF0000"/>
        </w:rPr>
        <w:t xml:space="preserve">  </w:t>
      </w:r>
      <w:r w:rsidR="00BC6D2A" w:rsidRPr="00BC6D2A">
        <w:rPr>
          <w:rFonts w:ascii="Calibri" w:hAnsi="Calibri"/>
          <w:color w:val="FF0000"/>
        </w:rPr>
        <w:t xml:space="preserve">Grantees wishing to use this </w:t>
      </w:r>
      <w:r w:rsidR="00BC6D2A">
        <w:rPr>
          <w:rFonts w:ascii="Calibri" w:hAnsi="Calibri"/>
          <w:color w:val="FF0000"/>
        </w:rPr>
        <w:t>waiver</w:t>
      </w:r>
      <w:r w:rsidR="00BC6D2A" w:rsidRPr="00BC6D2A">
        <w:rPr>
          <w:rFonts w:ascii="Calibri" w:hAnsi="Calibri"/>
          <w:color w:val="FF0000"/>
        </w:rPr>
        <w:t xml:space="preserve"> must notify HUD even if they </w:t>
      </w:r>
      <w:r w:rsidR="00BC6D2A" w:rsidRPr="00BC6D2A">
        <w:rPr>
          <w:rFonts w:ascii="Calibri" w:hAnsi="Calibri"/>
          <w:color w:val="FF0000"/>
        </w:rPr>
        <w:lastRenderedPageBreak/>
        <w:t xml:space="preserve">already notified HUD of their intent to use </w:t>
      </w:r>
      <w:r w:rsidR="00BC6D2A">
        <w:rPr>
          <w:rFonts w:ascii="Calibri" w:hAnsi="Calibri"/>
          <w:color w:val="FF0000"/>
        </w:rPr>
        <w:t>other</w:t>
      </w:r>
      <w:r w:rsidR="00BC6D2A" w:rsidRPr="00BC6D2A">
        <w:rPr>
          <w:rFonts w:ascii="Calibri" w:hAnsi="Calibri"/>
          <w:color w:val="FF0000"/>
        </w:rPr>
        <w:t xml:space="preserve"> waiver</w:t>
      </w:r>
      <w:r w:rsidR="00BC6D2A">
        <w:rPr>
          <w:rFonts w:ascii="Calibri" w:hAnsi="Calibri"/>
          <w:color w:val="FF0000"/>
        </w:rPr>
        <w:t>s</w:t>
      </w:r>
      <w:r w:rsidR="00BC6D2A" w:rsidRPr="00BC6D2A">
        <w:rPr>
          <w:rFonts w:ascii="Calibri" w:hAnsi="Calibri"/>
          <w:color w:val="FF0000"/>
        </w:rPr>
        <w:t xml:space="preserve"> – see pages 1 and 2 for notification instructions.</w:t>
      </w:r>
    </w:p>
    <w:p w14:paraId="00CB986F" w14:textId="77777777" w:rsidR="00BC6D2A" w:rsidRPr="00BC6D2A" w:rsidRDefault="00BC6D2A" w:rsidP="00BC6D2A">
      <w:pPr>
        <w:jc w:val="both"/>
        <w:rPr>
          <w:rFonts w:ascii="Calibri" w:hAnsi="Calibri"/>
          <w:b/>
          <w:bCs/>
        </w:rPr>
      </w:pPr>
    </w:p>
    <w:p w14:paraId="70FC2D6A" w14:textId="5F45C5A6" w:rsidR="004B1DCB" w:rsidRPr="004B1DCB" w:rsidRDefault="004B1DCB" w:rsidP="004B1DCB">
      <w:pPr>
        <w:numPr>
          <w:ilvl w:val="0"/>
          <w:numId w:val="22"/>
        </w:numPr>
        <w:rPr>
          <w:rFonts w:ascii="Calibri" w:hAnsi="Calibri" w:cs="Calibri"/>
          <w:color w:val="FF0000"/>
        </w:rPr>
      </w:pPr>
      <w:r w:rsidRPr="004B1DCB">
        <w:rPr>
          <w:rFonts w:ascii="Calibri" w:hAnsi="Calibri" w:cs="Calibri"/>
          <w:b/>
          <w:bCs/>
          <w:color w:val="FF0000"/>
        </w:rPr>
        <w:t>Apply in the next CoC Competition based on the BLIs before an</w:t>
      </w:r>
      <w:r>
        <w:rPr>
          <w:rFonts w:ascii="Calibri" w:hAnsi="Calibri" w:cs="Calibri"/>
          <w:b/>
          <w:bCs/>
          <w:color w:val="FF0000"/>
        </w:rPr>
        <w:t>y</w:t>
      </w:r>
      <w:r w:rsidRPr="004B1DCB">
        <w:rPr>
          <w:rFonts w:ascii="Calibri" w:hAnsi="Calibri" w:cs="Calibri"/>
          <w:b/>
          <w:bCs/>
          <w:color w:val="FF0000"/>
        </w:rPr>
        <w:t xml:space="preserve"> amendment</w:t>
      </w:r>
    </w:p>
    <w:p w14:paraId="30A9FE20" w14:textId="77777777" w:rsidR="00CD0907" w:rsidRDefault="00CD0907" w:rsidP="004B1DCB">
      <w:pPr>
        <w:rPr>
          <w:rFonts w:ascii="Calibri" w:hAnsi="Calibri" w:cs="Calibri"/>
          <w:color w:val="FF0000"/>
        </w:rPr>
      </w:pPr>
    </w:p>
    <w:p w14:paraId="28B13F58" w14:textId="0E3209AE" w:rsidR="004B1DCB" w:rsidRDefault="004B1DCB" w:rsidP="003D161D">
      <w:pPr>
        <w:jc w:val="both"/>
        <w:rPr>
          <w:rFonts w:ascii="Calibri" w:hAnsi="Calibri" w:cs="Calibri"/>
          <w:color w:val="FF0000"/>
        </w:rPr>
      </w:pPr>
      <w:r w:rsidRPr="004B1DCB">
        <w:rPr>
          <w:rFonts w:ascii="Calibri" w:hAnsi="Calibri" w:cs="Calibri"/>
          <w:color w:val="FF0000"/>
        </w:rPr>
        <w:t xml:space="preserve">All CoC projects that </w:t>
      </w:r>
      <w:r w:rsidR="00CD0907">
        <w:rPr>
          <w:rFonts w:ascii="Calibri" w:hAnsi="Calibri" w:cs="Calibri"/>
          <w:color w:val="FF0000"/>
        </w:rPr>
        <w:t xml:space="preserve">executed a </w:t>
      </w:r>
      <w:r w:rsidRPr="004B1DCB">
        <w:rPr>
          <w:rFonts w:ascii="Calibri" w:hAnsi="Calibri" w:cs="Calibri"/>
          <w:color w:val="FF0000"/>
        </w:rPr>
        <w:t xml:space="preserve">grant agreement </w:t>
      </w:r>
      <w:r w:rsidR="00CD0907">
        <w:rPr>
          <w:rFonts w:ascii="Calibri" w:hAnsi="Calibri" w:cs="Calibri"/>
          <w:color w:val="FF0000"/>
        </w:rPr>
        <w:t xml:space="preserve"> amendment </w:t>
      </w:r>
      <w:r w:rsidRPr="004B1DCB">
        <w:rPr>
          <w:rFonts w:ascii="Calibri" w:hAnsi="Calibri" w:cs="Calibri"/>
          <w:color w:val="FF0000"/>
        </w:rPr>
        <w:t xml:space="preserve">in response to COVID-19 between March 31, 2020 and October 1, 2020 to move funds between budget line items </w:t>
      </w:r>
      <w:r w:rsidR="00CD0907">
        <w:rPr>
          <w:rFonts w:ascii="Calibri" w:hAnsi="Calibri" w:cs="Calibri"/>
          <w:color w:val="FF0000"/>
        </w:rPr>
        <w:t xml:space="preserve">(BLIs) </w:t>
      </w:r>
      <w:r w:rsidRPr="004B1DCB">
        <w:rPr>
          <w:rFonts w:ascii="Calibri" w:hAnsi="Calibri" w:cs="Calibri"/>
          <w:color w:val="FF0000"/>
        </w:rPr>
        <w:t xml:space="preserve">may apply in the next CoC Competition based on the BLIs before they were amended. HUD will consider any grant agreement amendment executed between these dates to move funds between </w:t>
      </w:r>
      <w:r w:rsidR="00CD0907">
        <w:rPr>
          <w:rFonts w:ascii="Calibri" w:hAnsi="Calibri" w:cs="Calibri"/>
          <w:color w:val="FF0000"/>
        </w:rPr>
        <w:t>BLIs</w:t>
      </w:r>
      <w:r w:rsidRPr="004B1DCB">
        <w:rPr>
          <w:rFonts w:ascii="Calibri" w:hAnsi="Calibri" w:cs="Calibri"/>
          <w:color w:val="FF0000"/>
        </w:rPr>
        <w:t xml:space="preserve"> in response to COVID as the required notification. </w:t>
      </w:r>
      <w:r>
        <w:rPr>
          <w:rFonts w:ascii="Calibri" w:hAnsi="Calibri" w:cs="Calibri"/>
          <w:color w:val="FF0000"/>
        </w:rPr>
        <w:t>CT BOS is awaiting clarification from HUD</w:t>
      </w:r>
      <w:r w:rsidRPr="004B1DCB">
        <w:rPr>
          <w:rFonts w:ascii="Calibri" w:hAnsi="Calibri" w:cs="Calibri"/>
          <w:color w:val="FF0000"/>
        </w:rPr>
        <w:t xml:space="preserve"> to determine if there will be a process to enable grantees who wish to apply based on the amended BLIs to do so.</w:t>
      </w:r>
    </w:p>
    <w:p w14:paraId="6C994040" w14:textId="77777777" w:rsidR="004B1DCB" w:rsidRDefault="004B1DCB" w:rsidP="004B1DCB">
      <w:pPr>
        <w:pStyle w:val="ListParagraph"/>
        <w:ind w:left="630"/>
        <w:jc w:val="both"/>
        <w:rPr>
          <w:rFonts w:ascii="Calibri" w:hAnsi="Calibri"/>
          <w:b/>
          <w:bCs/>
        </w:rPr>
      </w:pPr>
    </w:p>
    <w:p w14:paraId="4B8290D3" w14:textId="77777777" w:rsidR="004B1DCB" w:rsidRPr="004B1DCB" w:rsidRDefault="004B1DCB" w:rsidP="004B1DCB">
      <w:pPr>
        <w:pStyle w:val="ListParagraph"/>
        <w:numPr>
          <w:ilvl w:val="0"/>
          <w:numId w:val="22"/>
        </w:numPr>
        <w:ind w:left="630"/>
        <w:jc w:val="both"/>
        <w:rPr>
          <w:rFonts w:ascii="Calibri" w:hAnsi="Calibri"/>
          <w:b/>
          <w:bCs/>
          <w:color w:val="FF0000"/>
        </w:rPr>
      </w:pPr>
      <w:r w:rsidRPr="004B1DCB">
        <w:rPr>
          <w:rFonts w:ascii="Calibri" w:hAnsi="Calibri" w:cs="Calibri"/>
          <w:b/>
          <w:bCs/>
          <w:color w:val="FF0000"/>
        </w:rPr>
        <w:t>Minor change to DedicatedPLUS eligibility criteria</w:t>
      </w:r>
    </w:p>
    <w:p w14:paraId="4F039C82" w14:textId="77777777" w:rsidR="004B1DCB" w:rsidRDefault="004B1DCB" w:rsidP="004B1DCB">
      <w:pPr>
        <w:jc w:val="both"/>
        <w:rPr>
          <w:rFonts w:ascii="Calibri" w:hAnsi="Calibri" w:cs="Calibri"/>
          <w:color w:val="FF0000"/>
        </w:rPr>
      </w:pPr>
    </w:p>
    <w:p w14:paraId="218B2F3C" w14:textId="4DD3314B" w:rsidR="00CD0907" w:rsidRPr="00BC6D2A" w:rsidRDefault="004B1DCB" w:rsidP="00CD0907">
      <w:pPr>
        <w:jc w:val="both"/>
        <w:rPr>
          <w:rFonts w:ascii="Calibri" w:hAnsi="Calibri"/>
          <w:color w:val="FF0000"/>
        </w:rPr>
      </w:pPr>
      <w:r w:rsidRPr="004B1DCB">
        <w:rPr>
          <w:rFonts w:ascii="Calibri" w:hAnsi="Calibri" w:cs="Calibri"/>
          <w:color w:val="FF0000"/>
        </w:rPr>
        <w:t>For Dedicated</w:t>
      </w:r>
      <w:r>
        <w:rPr>
          <w:rFonts w:ascii="Calibri" w:hAnsi="Calibri" w:cs="Calibri"/>
          <w:color w:val="FF0000"/>
        </w:rPr>
        <w:t>PLUS</w:t>
      </w:r>
      <w:r w:rsidRPr="004B1DCB">
        <w:rPr>
          <w:rFonts w:ascii="Calibri" w:hAnsi="Calibri" w:cs="Calibri"/>
          <w:color w:val="FF0000"/>
        </w:rPr>
        <w:t xml:space="preserve"> </w:t>
      </w:r>
      <w:r>
        <w:rPr>
          <w:rFonts w:ascii="Calibri" w:hAnsi="Calibri" w:cs="Calibri"/>
          <w:color w:val="FF0000"/>
        </w:rPr>
        <w:t xml:space="preserve">Permanent Supportive Housing (PSH) </w:t>
      </w:r>
      <w:r w:rsidRPr="004B1DCB">
        <w:rPr>
          <w:rFonts w:ascii="Calibri" w:hAnsi="Calibri" w:cs="Calibri"/>
          <w:color w:val="FF0000"/>
        </w:rPr>
        <w:t xml:space="preserve">projects awarded in the 2018 and 2019 competitions, people who were chronically homeless prior to entering </w:t>
      </w:r>
      <w:r>
        <w:rPr>
          <w:rFonts w:ascii="Calibri" w:hAnsi="Calibri" w:cs="Calibri"/>
          <w:color w:val="FF0000"/>
        </w:rPr>
        <w:t>Transitional Housing (</w:t>
      </w:r>
      <w:r w:rsidRPr="004B1DCB">
        <w:rPr>
          <w:rFonts w:ascii="Calibri" w:hAnsi="Calibri" w:cs="Calibri"/>
          <w:color w:val="FF0000"/>
        </w:rPr>
        <w:t>TH</w:t>
      </w:r>
      <w:r>
        <w:rPr>
          <w:rFonts w:ascii="Calibri" w:hAnsi="Calibri" w:cs="Calibri"/>
          <w:color w:val="FF0000"/>
        </w:rPr>
        <w:t>)</w:t>
      </w:r>
      <w:r w:rsidRPr="004B1DCB">
        <w:rPr>
          <w:rFonts w:ascii="Calibri" w:hAnsi="Calibri" w:cs="Calibri"/>
          <w:color w:val="FF0000"/>
        </w:rPr>
        <w:t xml:space="preserve"> will qualify as Dedicated</w:t>
      </w:r>
      <w:r>
        <w:rPr>
          <w:rFonts w:ascii="Calibri" w:hAnsi="Calibri" w:cs="Calibri"/>
          <w:color w:val="FF0000"/>
        </w:rPr>
        <w:t xml:space="preserve">PLUS </w:t>
      </w:r>
      <w:r w:rsidRPr="004B1DCB">
        <w:rPr>
          <w:rFonts w:ascii="Calibri" w:hAnsi="Calibri" w:cs="Calibri"/>
          <w:color w:val="FF0000"/>
        </w:rPr>
        <w:t xml:space="preserve">regardless of whether or not the TH is being eliminated.  </w:t>
      </w:r>
      <w:r w:rsidR="002624B6">
        <w:rPr>
          <w:rFonts w:asciiTheme="minorHAnsi" w:hAnsiTheme="minorHAnsi" w:cstheme="minorHAnsi"/>
          <w:color w:val="FF0000"/>
        </w:rPr>
        <w:t>The e</w:t>
      </w:r>
      <w:r w:rsidR="00FB6201" w:rsidRPr="00FB6201">
        <w:rPr>
          <w:rFonts w:asciiTheme="minorHAnsi" w:hAnsiTheme="minorHAnsi" w:cstheme="minorHAnsi"/>
          <w:color w:val="FF0000"/>
        </w:rPr>
        <w:t xml:space="preserve">xpiration date </w:t>
      </w:r>
      <w:r w:rsidR="00FB6201">
        <w:rPr>
          <w:rFonts w:asciiTheme="minorHAnsi" w:hAnsiTheme="minorHAnsi" w:cstheme="minorHAnsi"/>
          <w:color w:val="FF0000"/>
        </w:rPr>
        <w:t xml:space="preserve">of this waiver will vary from project by project and will be </w:t>
      </w:r>
      <w:r w:rsidR="00FB6201" w:rsidRPr="00FB6201">
        <w:rPr>
          <w:rFonts w:asciiTheme="minorHAnsi" w:hAnsiTheme="minorHAnsi" w:cstheme="minorHAnsi"/>
          <w:color w:val="FF0000"/>
        </w:rPr>
        <w:t xml:space="preserve">determined by </w:t>
      </w:r>
      <w:r w:rsidR="00FB6201">
        <w:rPr>
          <w:rFonts w:asciiTheme="minorHAnsi" w:hAnsiTheme="minorHAnsi" w:cstheme="minorHAnsi"/>
          <w:color w:val="FF0000"/>
        </w:rPr>
        <w:t xml:space="preserve">the </w:t>
      </w:r>
      <w:r w:rsidR="00FB6201" w:rsidRPr="00FB6201">
        <w:rPr>
          <w:rFonts w:asciiTheme="minorHAnsi" w:hAnsiTheme="minorHAnsi" w:cstheme="minorHAnsi"/>
          <w:color w:val="FF0000"/>
        </w:rPr>
        <w:t>end date</w:t>
      </w:r>
      <w:r w:rsidR="00FB6201">
        <w:rPr>
          <w:rFonts w:asciiTheme="minorHAnsi" w:hAnsiTheme="minorHAnsi" w:cstheme="minorHAnsi"/>
          <w:color w:val="FF0000"/>
        </w:rPr>
        <w:t xml:space="preserve"> of the grant awarded in the </w:t>
      </w:r>
      <w:r w:rsidR="002624B6">
        <w:rPr>
          <w:rFonts w:asciiTheme="minorHAnsi" w:hAnsiTheme="minorHAnsi" w:cstheme="minorHAnsi"/>
          <w:color w:val="FF0000"/>
        </w:rPr>
        <w:t xml:space="preserve">2019 CoC competition.  This waiver will expire for all projects during calendar year 2021. </w:t>
      </w:r>
      <w:r w:rsidRPr="004B1DCB">
        <w:rPr>
          <w:rFonts w:ascii="Calibri" w:hAnsi="Calibri" w:cs="Calibri"/>
          <w:color w:val="FF0000"/>
        </w:rPr>
        <w:t>This is intended to remove any disincentive to using TH as a shelter decompression strategy</w:t>
      </w:r>
      <w:r w:rsidR="00BE0751">
        <w:rPr>
          <w:rFonts w:ascii="Calibri" w:hAnsi="Calibri" w:cs="Calibri"/>
          <w:color w:val="FF0000"/>
        </w:rPr>
        <w:t>,</w:t>
      </w:r>
      <w:r>
        <w:rPr>
          <w:rFonts w:ascii="Calibri" w:hAnsi="Calibri" w:cs="Calibri"/>
          <w:color w:val="FF0000"/>
        </w:rPr>
        <w:t xml:space="preserve"> to expand permanent housing options for people exiting TH</w:t>
      </w:r>
      <w:r w:rsidR="00BE0751">
        <w:rPr>
          <w:rFonts w:ascii="Calibri" w:hAnsi="Calibri" w:cs="Calibri"/>
          <w:color w:val="FF0000"/>
        </w:rPr>
        <w:t>, and to prevent the spread of COVID-19 by making TH beds available to others who need it, including those living in unsheltered locations.</w:t>
      </w:r>
      <w:r w:rsidR="00CD0907">
        <w:rPr>
          <w:rFonts w:ascii="Calibri" w:hAnsi="Calibri" w:cs="Calibri"/>
          <w:color w:val="FF0000"/>
        </w:rPr>
        <w:t xml:space="preserve"> </w:t>
      </w:r>
      <w:r w:rsidR="00CD0907" w:rsidRPr="00BC6D2A">
        <w:rPr>
          <w:rFonts w:ascii="Calibri" w:hAnsi="Calibri"/>
          <w:color w:val="FF0000"/>
        </w:rPr>
        <w:t xml:space="preserve">Grantees wishing to use this </w:t>
      </w:r>
      <w:r w:rsidR="00CD0907">
        <w:rPr>
          <w:rFonts w:ascii="Calibri" w:hAnsi="Calibri"/>
          <w:color w:val="FF0000"/>
        </w:rPr>
        <w:t>waiver</w:t>
      </w:r>
      <w:r w:rsidR="00CD0907" w:rsidRPr="00BC6D2A">
        <w:rPr>
          <w:rFonts w:ascii="Calibri" w:hAnsi="Calibri"/>
          <w:color w:val="FF0000"/>
        </w:rPr>
        <w:t xml:space="preserve"> must notify HUD even if they already notified HUD of their intent to use </w:t>
      </w:r>
      <w:r w:rsidR="00CD0907">
        <w:rPr>
          <w:rFonts w:ascii="Calibri" w:hAnsi="Calibri"/>
          <w:color w:val="FF0000"/>
        </w:rPr>
        <w:t>other</w:t>
      </w:r>
      <w:r w:rsidR="00CD0907" w:rsidRPr="00BC6D2A">
        <w:rPr>
          <w:rFonts w:ascii="Calibri" w:hAnsi="Calibri"/>
          <w:color w:val="FF0000"/>
        </w:rPr>
        <w:t xml:space="preserve"> waiver</w:t>
      </w:r>
      <w:r w:rsidR="00CD0907">
        <w:rPr>
          <w:rFonts w:ascii="Calibri" w:hAnsi="Calibri"/>
          <w:color w:val="FF0000"/>
        </w:rPr>
        <w:t>s</w:t>
      </w:r>
      <w:r w:rsidR="00CD0907" w:rsidRPr="00BC6D2A">
        <w:rPr>
          <w:rFonts w:ascii="Calibri" w:hAnsi="Calibri"/>
          <w:color w:val="FF0000"/>
        </w:rPr>
        <w:t xml:space="preserve"> – see pages 1 and 2 for notification instructions.</w:t>
      </w:r>
    </w:p>
    <w:p w14:paraId="636F1C50" w14:textId="218861CD" w:rsidR="004B1DCB" w:rsidRDefault="004B1DCB" w:rsidP="004B1DCB">
      <w:pPr>
        <w:pStyle w:val="ListParagraph"/>
        <w:ind w:left="630"/>
        <w:jc w:val="both"/>
        <w:rPr>
          <w:rFonts w:ascii="Calibri" w:hAnsi="Calibri"/>
          <w:b/>
          <w:bCs/>
        </w:rPr>
      </w:pPr>
    </w:p>
    <w:p w14:paraId="200BA1A0" w14:textId="284468A4" w:rsidR="00201118" w:rsidRPr="008F1C7E" w:rsidRDefault="008F1C7E" w:rsidP="00F82FF8">
      <w:pPr>
        <w:pStyle w:val="ListParagraph"/>
        <w:numPr>
          <w:ilvl w:val="0"/>
          <w:numId w:val="22"/>
        </w:numPr>
        <w:ind w:left="630"/>
        <w:jc w:val="both"/>
        <w:rPr>
          <w:rFonts w:ascii="Calibri" w:hAnsi="Calibri"/>
          <w:b/>
          <w:bCs/>
        </w:rPr>
      </w:pPr>
      <w:r w:rsidRPr="008F1C7E">
        <w:rPr>
          <w:rFonts w:ascii="Calibri" w:hAnsi="Calibri"/>
          <w:b/>
          <w:bCs/>
        </w:rPr>
        <w:t xml:space="preserve">Initial Housing Quality Standards (HQS) </w:t>
      </w:r>
      <w:r w:rsidR="00E1491D">
        <w:rPr>
          <w:rFonts w:ascii="Calibri" w:hAnsi="Calibri"/>
          <w:b/>
          <w:bCs/>
        </w:rPr>
        <w:t>i</w:t>
      </w:r>
      <w:r w:rsidRPr="008F1C7E">
        <w:rPr>
          <w:rFonts w:ascii="Calibri" w:hAnsi="Calibri"/>
          <w:b/>
          <w:bCs/>
        </w:rPr>
        <w:t>nspections</w:t>
      </w:r>
      <w:r w:rsidR="000967E2">
        <w:rPr>
          <w:rFonts w:ascii="Calibri" w:hAnsi="Calibri"/>
          <w:b/>
          <w:bCs/>
        </w:rPr>
        <w:t xml:space="preserve"> can be conducted remotely</w:t>
      </w:r>
      <w:r w:rsidR="00EC4BBD">
        <w:rPr>
          <w:rFonts w:ascii="Calibri" w:hAnsi="Calibri"/>
          <w:b/>
          <w:bCs/>
        </w:rPr>
        <w:t xml:space="preserve"> until 9/30/20.</w:t>
      </w:r>
    </w:p>
    <w:p w14:paraId="0475EEFD" w14:textId="77777777" w:rsidR="00AD6131" w:rsidRDefault="00AD6131" w:rsidP="00F82FF8">
      <w:pPr>
        <w:jc w:val="both"/>
        <w:rPr>
          <w:rFonts w:ascii="Calibri" w:hAnsi="Calibri"/>
        </w:rPr>
      </w:pPr>
    </w:p>
    <w:p w14:paraId="22C28830" w14:textId="604205EA" w:rsidR="00201118" w:rsidRDefault="000967E2" w:rsidP="00F82FF8">
      <w:pPr>
        <w:jc w:val="both"/>
        <w:rPr>
          <w:rFonts w:ascii="Calibri" w:hAnsi="Calibri"/>
        </w:rPr>
      </w:pPr>
      <w:r>
        <w:rPr>
          <w:rFonts w:ascii="Calibri" w:hAnsi="Calibri"/>
        </w:rPr>
        <w:t>Rather than conducting an</w:t>
      </w:r>
      <w:r w:rsidR="00201118" w:rsidRPr="00201118">
        <w:rPr>
          <w:rFonts w:ascii="Calibri" w:hAnsi="Calibri"/>
        </w:rPr>
        <w:t xml:space="preserve"> initial physical </w:t>
      </w:r>
      <w:r>
        <w:rPr>
          <w:rFonts w:ascii="Calibri" w:hAnsi="Calibri"/>
        </w:rPr>
        <w:t xml:space="preserve">HQS </w:t>
      </w:r>
      <w:r w:rsidR="00201118" w:rsidRPr="00201118">
        <w:rPr>
          <w:rFonts w:ascii="Calibri" w:hAnsi="Calibri"/>
        </w:rPr>
        <w:t xml:space="preserve">inspection of </w:t>
      </w:r>
      <w:r>
        <w:rPr>
          <w:rFonts w:ascii="Calibri" w:hAnsi="Calibri"/>
        </w:rPr>
        <w:t xml:space="preserve">housing </w:t>
      </w:r>
      <w:r w:rsidR="00201118" w:rsidRPr="00201118">
        <w:rPr>
          <w:rFonts w:ascii="Calibri" w:hAnsi="Calibri"/>
        </w:rPr>
        <w:t>units</w:t>
      </w:r>
      <w:r>
        <w:rPr>
          <w:rFonts w:ascii="Calibri" w:hAnsi="Calibri"/>
        </w:rPr>
        <w:t>,</w:t>
      </w:r>
      <w:r w:rsidR="00201118" w:rsidRPr="00201118">
        <w:rPr>
          <w:rFonts w:ascii="Calibri" w:hAnsi="Calibri"/>
        </w:rPr>
        <w:t xml:space="preserve"> </w:t>
      </w:r>
      <w:r>
        <w:rPr>
          <w:rFonts w:ascii="Calibri" w:hAnsi="Calibri"/>
        </w:rPr>
        <w:t>projects may</w:t>
      </w:r>
      <w:r w:rsidR="00201118" w:rsidRPr="00201118">
        <w:rPr>
          <w:rFonts w:ascii="Calibri" w:hAnsi="Calibri"/>
        </w:rPr>
        <w:t xml:space="preserve"> conduct an initial visual HQS inspection using video streaming technology</w:t>
      </w:r>
      <w:r w:rsidR="00AD6131">
        <w:rPr>
          <w:rFonts w:ascii="Calibri" w:hAnsi="Calibri"/>
        </w:rPr>
        <w:t xml:space="preserve"> and/or photographic evidence</w:t>
      </w:r>
      <w:r w:rsidR="00E1491D">
        <w:rPr>
          <w:rFonts w:ascii="Calibri" w:hAnsi="Calibri"/>
        </w:rPr>
        <w:t>. To use this waiver,</w:t>
      </w:r>
      <w:r w:rsidR="00201118" w:rsidRPr="00201118">
        <w:rPr>
          <w:rFonts w:ascii="Calibri" w:hAnsi="Calibri"/>
        </w:rPr>
        <w:t xml:space="preserve"> </w:t>
      </w:r>
      <w:r w:rsidR="00E1491D">
        <w:rPr>
          <w:rFonts w:ascii="Calibri" w:hAnsi="Calibri"/>
        </w:rPr>
        <w:t>h</w:t>
      </w:r>
      <w:r w:rsidR="00201118" w:rsidRPr="00201118">
        <w:rPr>
          <w:rFonts w:ascii="Calibri" w:hAnsi="Calibri"/>
        </w:rPr>
        <w:t>ave a landlord, agent, participant, etc. show the inspector the unit via a video application like Zoom, Skype, Facetime or Google Duo.</w:t>
      </w:r>
      <w:r w:rsidR="00AD6131">
        <w:rPr>
          <w:rFonts w:ascii="Calibri" w:hAnsi="Calibri"/>
        </w:rPr>
        <w:t xml:space="preserve"> HUD has also indicated that photos are allowable in lieu of video streaming. </w:t>
      </w:r>
      <w:r w:rsidR="00706106">
        <w:rPr>
          <w:rFonts w:ascii="Calibri" w:hAnsi="Calibri"/>
        </w:rPr>
        <w:t xml:space="preserve">Inspectors must </w:t>
      </w:r>
      <w:r w:rsidR="00E1491D">
        <w:rPr>
          <w:rFonts w:ascii="Calibri" w:hAnsi="Calibri"/>
        </w:rPr>
        <w:t xml:space="preserve">still </w:t>
      </w:r>
      <w:r w:rsidR="00706106">
        <w:rPr>
          <w:rFonts w:ascii="Calibri" w:hAnsi="Calibri"/>
        </w:rPr>
        <w:t>c</w:t>
      </w:r>
      <w:r w:rsidR="00201118" w:rsidRPr="00706106">
        <w:rPr>
          <w:rFonts w:ascii="Calibri" w:hAnsi="Calibri"/>
        </w:rPr>
        <w:t>omplete the usual HQS Inspection form</w:t>
      </w:r>
      <w:r w:rsidR="00201118" w:rsidRPr="00706106">
        <w:rPr>
          <w:rFonts w:ascii="Calibri" w:hAnsi="Calibri"/>
          <w:b/>
          <w:bCs/>
        </w:rPr>
        <w:t xml:space="preserve"> </w:t>
      </w:r>
      <w:r w:rsidR="00201118" w:rsidRPr="00706106">
        <w:rPr>
          <w:rFonts w:ascii="Calibri" w:hAnsi="Calibri"/>
        </w:rPr>
        <w:t xml:space="preserve">and note that </w:t>
      </w:r>
      <w:r w:rsidR="00E1491D">
        <w:rPr>
          <w:rFonts w:ascii="Calibri" w:hAnsi="Calibri"/>
        </w:rPr>
        <w:t xml:space="preserve">on the form that </w:t>
      </w:r>
      <w:r w:rsidR="00201118" w:rsidRPr="00706106">
        <w:rPr>
          <w:rFonts w:ascii="Calibri" w:hAnsi="Calibri"/>
        </w:rPr>
        <w:t>it was a virtual inspection.</w:t>
      </w:r>
      <w:r w:rsidR="00706106">
        <w:rPr>
          <w:rFonts w:ascii="Calibri" w:hAnsi="Calibri"/>
        </w:rPr>
        <w:t xml:space="preserve">  CT BOS strongly recommends that inspectors v</w:t>
      </w:r>
      <w:r w:rsidR="00201118" w:rsidRPr="00201118">
        <w:rPr>
          <w:rFonts w:ascii="Calibri" w:hAnsi="Calibri"/>
        </w:rPr>
        <w:t>iew evidence that the unit</w:t>
      </w:r>
      <w:r w:rsidR="00E1491D">
        <w:rPr>
          <w:rFonts w:ascii="Calibri" w:hAnsi="Calibri"/>
        </w:rPr>
        <w:t xml:space="preserve"> inspected</w:t>
      </w:r>
      <w:r w:rsidR="00201118" w:rsidRPr="00201118">
        <w:rPr>
          <w:rFonts w:ascii="Calibri" w:hAnsi="Calibri"/>
        </w:rPr>
        <w:t xml:space="preserve"> is the </w:t>
      </w:r>
      <w:r w:rsidR="00706106">
        <w:rPr>
          <w:rFonts w:ascii="Calibri" w:hAnsi="Calibri"/>
        </w:rPr>
        <w:t xml:space="preserve">same </w:t>
      </w:r>
      <w:r w:rsidR="00201118" w:rsidRPr="00201118">
        <w:rPr>
          <w:rFonts w:ascii="Calibri" w:hAnsi="Calibri"/>
        </w:rPr>
        <w:t xml:space="preserve">unit </w:t>
      </w:r>
      <w:r w:rsidR="00706106">
        <w:rPr>
          <w:rFonts w:ascii="Calibri" w:hAnsi="Calibri"/>
        </w:rPr>
        <w:t xml:space="preserve">being leased </w:t>
      </w:r>
      <w:r w:rsidR="00201118" w:rsidRPr="00201118">
        <w:rPr>
          <w:rFonts w:ascii="Calibri" w:hAnsi="Calibri"/>
        </w:rPr>
        <w:t>(e.g.</w:t>
      </w:r>
      <w:r w:rsidR="00706106">
        <w:rPr>
          <w:rFonts w:ascii="Calibri" w:hAnsi="Calibri"/>
        </w:rPr>
        <w:t>,</w:t>
      </w:r>
      <w:r w:rsidR="00201118" w:rsidRPr="00201118">
        <w:rPr>
          <w:rFonts w:ascii="Calibri" w:hAnsi="Calibri"/>
        </w:rPr>
        <w:t xml:space="preserve"> by seeing the number on the building/unit).</w:t>
      </w:r>
      <w:r w:rsidR="00AD6131">
        <w:rPr>
          <w:rFonts w:ascii="Calibri" w:hAnsi="Calibri"/>
        </w:rPr>
        <w:t xml:space="preserve"> When relying on photographic evidence, DOH/DMHAS require a documented oral or written certification by the person who took the photos indicating the date the photos were taken, the address and the unit number.  This documentation must be maintained in the participant chart.  Video and/or photo evidence relied upon must be comprehensive, showing all areas relevant to the HQS inspection.</w:t>
      </w:r>
    </w:p>
    <w:p w14:paraId="23B5C7A8" w14:textId="77777777" w:rsidR="00AD6131" w:rsidRPr="00201118" w:rsidRDefault="00AD6131" w:rsidP="00F82FF8">
      <w:pPr>
        <w:jc w:val="both"/>
        <w:rPr>
          <w:rFonts w:ascii="Calibri" w:hAnsi="Calibri"/>
        </w:rPr>
      </w:pPr>
    </w:p>
    <w:p w14:paraId="34D89E75" w14:textId="6C51D960" w:rsidR="00706106" w:rsidRDefault="00706106" w:rsidP="00F82FF8">
      <w:pPr>
        <w:jc w:val="both"/>
        <w:rPr>
          <w:rFonts w:ascii="Calibri" w:hAnsi="Calibri"/>
        </w:rPr>
      </w:pPr>
      <w:r>
        <w:rPr>
          <w:rFonts w:ascii="Calibri" w:hAnsi="Calibri"/>
        </w:rPr>
        <w:t>The r</w:t>
      </w:r>
      <w:r w:rsidR="00201118" w:rsidRPr="00201118">
        <w:rPr>
          <w:rFonts w:ascii="Calibri" w:hAnsi="Calibri"/>
        </w:rPr>
        <w:t>ecipient or subrecipient of CoC</w:t>
      </w:r>
      <w:r w:rsidR="003474A7">
        <w:rPr>
          <w:rFonts w:ascii="Calibri" w:hAnsi="Calibri"/>
        </w:rPr>
        <w:t xml:space="preserve"> or ESG</w:t>
      </w:r>
      <w:r w:rsidR="00201118" w:rsidRPr="00201118">
        <w:rPr>
          <w:rFonts w:ascii="Calibri" w:hAnsi="Calibri"/>
        </w:rPr>
        <w:t xml:space="preserve"> funds must</w:t>
      </w:r>
      <w:r>
        <w:rPr>
          <w:rFonts w:ascii="Calibri" w:hAnsi="Calibri"/>
        </w:rPr>
        <w:t>:</w:t>
      </w:r>
    </w:p>
    <w:p w14:paraId="0EA6CAEF" w14:textId="77777777" w:rsidR="00312F0C" w:rsidRDefault="00706106" w:rsidP="00F82FF8">
      <w:pPr>
        <w:pStyle w:val="ListParagraph"/>
        <w:numPr>
          <w:ilvl w:val="0"/>
          <w:numId w:val="24"/>
        </w:numPr>
        <w:jc w:val="both"/>
        <w:rPr>
          <w:rFonts w:ascii="Calibri" w:hAnsi="Calibri"/>
        </w:rPr>
      </w:pPr>
      <w:r>
        <w:rPr>
          <w:rFonts w:ascii="Calibri" w:hAnsi="Calibri"/>
        </w:rPr>
        <w:t>Physically r</w:t>
      </w:r>
      <w:r w:rsidR="00201118" w:rsidRPr="00706106">
        <w:rPr>
          <w:rFonts w:ascii="Calibri" w:hAnsi="Calibri"/>
        </w:rPr>
        <w:t xml:space="preserve">e-inspect </w:t>
      </w:r>
      <w:r>
        <w:rPr>
          <w:rFonts w:ascii="Calibri" w:hAnsi="Calibri"/>
        </w:rPr>
        <w:t>all units approved via remote in</w:t>
      </w:r>
      <w:r w:rsidR="00EC4BBD">
        <w:rPr>
          <w:rFonts w:ascii="Calibri" w:hAnsi="Calibri"/>
        </w:rPr>
        <w:t>s</w:t>
      </w:r>
      <w:r>
        <w:rPr>
          <w:rFonts w:ascii="Calibri" w:hAnsi="Calibri"/>
        </w:rPr>
        <w:t>pection</w:t>
      </w:r>
      <w:r w:rsidR="00201118" w:rsidRPr="00706106">
        <w:rPr>
          <w:rFonts w:ascii="Calibri" w:hAnsi="Calibri"/>
        </w:rPr>
        <w:t xml:space="preserve"> within 3 months after public health officials determine special measures to prevent spread of COVID-19 are no longer necessary. </w:t>
      </w:r>
    </w:p>
    <w:p w14:paraId="397C17C6" w14:textId="6EAC92F7" w:rsidR="00706106" w:rsidRPr="004F7284" w:rsidRDefault="00312F0C" w:rsidP="004F7284">
      <w:pPr>
        <w:pStyle w:val="ListParagraph"/>
        <w:numPr>
          <w:ilvl w:val="0"/>
          <w:numId w:val="24"/>
        </w:numPr>
        <w:shd w:val="clear" w:color="auto" w:fill="FFFFFF" w:themeFill="background1"/>
        <w:jc w:val="both"/>
        <w:rPr>
          <w:rFonts w:ascii="Calibri" w:hAnsi="Calibri"/>
        </w:rPr>
      </w:pPr>
      <w:r w:rsidRPr="004F7284">
        <w:rPr>
          <w:rFonts w:ascii="Calibri" w:hAnsi="Calibri"/>
        </w:rPr>
        <w:t>Ensure that the landlord and participant are aware of the re-inspection requirement.</w:t>
      </w:r>
      <w:r w:rsidR="00201118" w:rsidRPr="004F7284">
        <w:rPr>
          <w:rFonts w:ascii="Calibri" w:hAnsi="Calibri"/>
        </w:rPr>
        <w:t xml:space="preserve"> </w:t>
      </w:r>
    </w:p>
    <w:p w14:paraId="1BEF6917" w14:textId="459898F1" w:rsidR="00201118" w:rsidRPr="00706106" w:rsidRDefault="00706106" w:rsidP="00F82FF8">
      <w:pPr>
        <w:pStyle w:val="ListParagraph"/>
        <w:numPr>
          <w:ilvl w:val="0"/>
          <w:numId w:val="24"/>
        </w:numPr>
        <w:jc w:val="both"/>
        <w:rPr>
          <w:rFonts w:ascii="Calibri" w:hAnsi="Calibri"/>
        </w:rPr>
      </w:pPr>
      <w:r>
        <w:rPr>
          <w:rFonts w:ascii="Calibri" w:hAnsi="Calibri"/>
        </w:rPr>
        <w:t>H</w:t>
      </w:r>
      <w:r w:rsidR="00201118" w:rsidRPr="00706106">
        <w:rPr>
          <w:rFonts w:ascii="Calibri" w:hAnsi="Calibri"/>
        </w:rPr>
        <w:t xml:space="preserve">ave a </w:t>
      </w:r>
      <w:r w:rsidR="00201118" w:rsidRPr="00706106">
        <w:rPr>
          <w:rFonts w:ascii="Calibri" w:hAnsi="Calibri"/>
          <w:b/>
          <w:bCs/>
        </w:rPr>
        <w:t xml:space="preserve">written policy </w:t>
      </w:r>
      <w:r w:rsidR="00201118" w:rsidRPr="00706106">
        <w:rPr>
          <w:rFonts w:ascii="Calibri" w:hAnsi="Calibri"/>
        </w:rPr>
        <w:t xml:space="preserve">to physically re-inspect the unit within </w:t>
      </w:r>
      <w:r w:rsidR="00E1491D">
        <w:rPr>
          <w:rFonts w:ascii="Calibri" w:hAnsi="Calibri"/>
        </w:rPr>
        <w:t>the timeframe specified above.</w:t>
      </w:r>
    </w:p>
    <w:p w14:paraId="5C741F4D" w14:textId="77777777" w:rsidR="00AD6131" w:rsidRDefault="00AD6131" w:rsidP="00F82FF8">
      <w:pPr>
        <w:jc w:val="both"/>
        <w:rPr>
          <w:rFonts w:ascii="Calibri" w:hAnsi="Calibri"/>
        </w:rPr>
      </w:pPr>
    </w:p>
    <w:p w14:paraId="1910B3EA" w14:textId="42A9C450" w:rsidR="00201118" w:rsidRDefault="00201118" w:rsidP="00F82FF8">
      <w:pPr>
        <w:jc w:val="both"/>
        <w:rPr>
          <w:rFonts w:ascii="Calibri" w:hAnsi="Calibri"/>
        </w:rPr>
      </w:pPr>
      <w:r w:rsidRPr="00201118">
        <w:rPr>
          <w:rFonts w:ascii="Calibri" w:hAnsi="Calibri"/>
        </w:rPr>
        <w:t>DOH and DMHAS will promptly adopt the required policy</w:t>
      </w:r>
      <w:r w:rsidR="00706106">
        <w:rPr>
          <w:rFonts w:ascii="Calibri" w:hAnsi="Calibri"/>
        </w:rPr>
        <w:t xml:space="preserve">. </w:t>
      </w:r>
      <w:r w:rsidRPr="00201118">
        <w:rPr>
          <w:rFonts w:ascii="Calibri" w:hAnsi="Calibri"/>
        </w:rPr>
        <w:t>That policy will cover subrecipients</w:t>
      </w:r>
      <w:r w:rsidRPr="00201118">
        <w:rPr>
          <w:rFonts w:ascii="Calibri" w:hAnsi="Calibri"/>
          <w:b/>
          <w:bCs/>
        </w:rPr>
        <w:t xml:space="preserve"> </w:t>
      </w:r>
      <w:r w:rsidRPr="00201118">
        <w:rPr>
          <w:rFonts w:ascii="Calibri" w:hAnsi="Calibri"/>
        </w:rPr>
        <w:t>on DOH/DMHAS projects</w:t>
      </w:r>
      <w:r w:rsidR="00706106">
        <w:rPr>
          <w:rFonts w:ascii="Calibri" w:hAnsi="Calibri"/>
        </w:rPr>
        <w:t xml:space="preserve">.  </w:t>
      </w:r>
      <w:r w:rsidR="00E1491D">
        <w:rPr>
          <w:rFonts w:ascii="Calibri" w:hAnsi="Calibri"/>
        </w:rPr>
        <w:t>Recipients</w:t>
      </w:r>
      <w:r w:rsidR="00706106">
        <w:rPr>
          <w:rFonts w:ascii="Calibri" w:hAnsi="Calibri"/>
        </w:rPr>
        <w:t xml:space="preserve"> (i.e., agencies that receive CoC/ESG funds directly from HUD) will need to either adopt the required policy and/or ensure that any relevant subrecipients have adopted such a policy. </w:t>
      </w:r>
      <w:r w:rsidR="00F72309">
        <w:rPr>
          <w:rFonts w:ascii="Calibri" w:hAnsi="Calibri"/>
        </w:rPr>
        <w:t xml:space="preserve">The necessary content is included in the CT BOS </w:t>
      </w:r>
      <w:hyperlink r:id="rId15" w:history="1">
        <w:r w:rsidR="00F72309" w:rsidRPr="000823E9">
          <w:rPr>
            <w:rStyle w:val="Hyperlink"/>
            <w:rFonts w:ascii="Calibri" w:hAnsi="Calibri"/>
          </w:rPr>
          <w:t>Sample Emergency Operation Policy</w:t>
        </w:r>
      </w:hyperlink>
      <w:r w:rsidR="00F72309">
        <w:rPr>
          <w:rFonts w:ascii="Calibri" w:hAnsi="Calibri"/>
        </w:rPr>
        <w:t xml:space="preserve">.  </w:t>
      </w:r>
      <w:r w:rsidRPr="00201118">
        <w:rPr>
          <w:rFonts w:ascii="Calibri" w:hAnsi="Calibri"/>
        </w:rPr>
        <w:t>CT BOS encourages providers to take prompt action to house people during the crisis and not to delay implementation of these new procedures pending adoption of the required policy.</w:t>
      </w:r>
    </w:p>
    <w:p w14:paraId="577A51B6" w14:textId="77777777" w:rsidR="00AD6131" w:rsidRDefault="00AD6131" w:rsidP="00F82FF8">
      <w:pPr>
        <w:jc w:val="both"/>
        <w:rPr>
          <w:rFonts w:ascii="Calibri" w:hAnsi="Calibri"/>
        </w:rPr>
      </w:pPr>
    </w:p>
    <w:p w14:paraId="4CFDFE7A" w14:textId="0FB932B4" w:rsidR="00E1491D" w:rsidRDefault="00BE4C5F" w:rsidP="00F82FF8">
      <w:pPr>
        <w:jc w:val="both"/>
        <w:rPr>
          <w:rFonts w:ascii="Calibri" w:hAnsi="Calibri"/>
        </w:rPr>
      </w:pPr>
      <w:r>
        <w:rPr>
          <w:rFonts w:ascii="Calibri" w:hAnsi="Calibri"/>
        </w:rPr>
        <w:t>For consistency across funding streams, d</w:t>
      </w:r>
      <w:r w:rsidR="00E1491D">
        <w:rPr>
          <w:rFonts w:ascii="Calibri" w:hAnsi="Calibri"/>
        </w:rPr>
        <w:t>uring the COVID-19 crisis, DOH is also enabling use of this waiver for ESG RRH.</w:t>
      </w:r>
    </w:p>
    <w:p w14:paraId="4EDADF7C" w14:textId="77777777" w:rsidR="00AD6131" w:rsidRDefault="00AD6131" w:rsidP="00F82FF8">
      <w:pPr>
        <w:jc w:val="both"/>
        <w:rPr>
          <w:rFonts w:ascii="Calibri" w:hAnsi="Calibri"/>
        </w:rPr>
      </w:pPr>
    </w:p>
    <w:p w14:paraId="2EBBDA80" w14:textId="75BDDE31" w:rsidR="00201118" w:rsidRPr="00EC4BBD" w:rsidRDefault="00201118" w:rsidP="00F82FF8">
      <w:pPr>
        <w:pStyle w:val="ListParagraph"/>
        <w:numPr>
          <w:ilvl w:val="0"/>
          <w:numId w:val="22"/>
        </w:numPr>
        <w:jc w:val="both"/>
        <w:rPr>
          <w:rFonts w:ascii="Calibri" w:hAnsi="Calibri"/>
          <w:b/>
          <w:bCs/>
        </w:rPr>
      </w:pPr>
      <w:r w:rsidRPr="00EC4BBD">
        <w:rPr>
          <w:rFonts w:ascii="Calibri" w:hAnsi="Calibri"/>
          <w:b/>
          <w:bCs/>
        </w:rPr>
        <w:t xml:space="preserve">The requirement to re-inspect units annually is waived until </w:t>
      </w:r>
      <w:r w:rsidR="0024673B">
        <w:rPr>
          <w:rFonts w:ascii="Calibri" w:hAnsi="Calibri"/>
          <w:b/>
          <w:bCs/>
        </w:rPr>
        <w:t>3/31</w:t>
      </w:r>
      <w:r w:rsidR="00D41E04">
        <w:rPr>
          <w:rFonts w:ascii="Calibri" w:hAnsi="Calibri"/>
          <w:b/>
          <w:bCs/>
        </w:rPr>
        <w:t>/21.</w:t>
      </w:r>
      <w:r w:rsidRPr="00EC4BBD">
        <w:rPr>
          <w:rFonts w:ascii="Calibri" w:hAnsi="Calibri"/>
          <w:b/>
          <w:bCs/>
        </w:rPr>
        <w:tab/>
      </w:r>
    </w:p>
    <w:p w14:paraId="7F8CB89A" w14:textId="77777777" w:rsidR="00AD6131" w:rsidRDefault="00AD6131" w:rsidP="00F82FF8">
      <w:pPr>
        <w:jc w:val="both"/>
        <w:rPr>
          <w:rFonts w:ascii="Calibri" w:hAnsi="Calibri"/>
        </w:rPr>
      </w:pPr>
    </w:p>
    <w:p w14:paraId="39EAA07E" w14:textId="3077A8D2" w:rsidR="00201118" w:rsidRDefault="00EC4BBD" w:rsidP="00F82FF8">
      <w:pPr>
        <w:jc w:val="both"/>
        <w:rPr>
          <w:rFonts w:ascii="Calibri" w:hAnsi="Calibri"/>
        </w:rPr>
      </w:pPr>
      <w:r>
        <w:rPr>
          <w:rFonts w:ascii="Calibri" w:hAnsi="Calibri"/>
        </w:rPr>
        <w:t>For units that were already previous</w:t>
      </w:r>
      <w:r w:rsidR="0024673B">
        <w:rPr>
          <w:rFonts w:ascii="Calibri" w:hAnsi="Calibri"/>
        </w:rPr>
        <w:t>ly</w:t>
      </w:r>
      <w:r>
        <w:rPr>
          <w:rFonts w:ascii="Calibri" w:hAnsi="Calibri"/>
        </w:rPr>
        <w:t xml:space="preserve"> inspected and approved</w:t>
      </w:r>
      <w:r w:rsidR="0024673B">
        <w:rPr>
          <w:rFonts w:ascii="Calibri" w:hAnsi="Calibri"/>
        </w:rPr>
        <w:t>,</w:t>
      </w:r>
      <w:r>
        <w:rPr>
          <w:rFonts w:ascii="Calibri" w:hAnsi="Calibri"/>
        </w:rPr>
        <w:t xml:space="preserve"> n</w:t>
      </w:r>
      <w:r w:rsidR="00201118" w:rsidRPr="00201118">
        <w:rPr>
          <w:rFonts w:ascii="Calibri" w:hAnsi="Calibri"/>
        </w:rPr>
        <w:t xml:space="preserve">either </w:t>
      </w:r>
      <w:r>
        <w:rPr>
          <w:rFonts w:ascii="Calibri" w:hAnsi="Calibri"/>
        </w:rPr>
        <w:t xml:space="preserve">a </w:t>
      </w:r>
      <w:r w:rsidR="00201118" w:rsidRPr="00201118">
        <w:rPr>
          <w:rFonts w:ascii="Calibri" w:hAnsi="Calibri"/>
        </w:rPr>
        <w:t xml:space="preserve">physical nor remote </w:t>
      </w:r>
      <w:r w:rsidR="0024673B">
        <w:rPr>
          <w:rFonts w:ascii="Calibri" w:hAnsi="Calibri"/>
        </w:rPr>
        <w:t xml:space="preserve">annual </w:t>
      </w:r>
      <w:r>
        <w:rPr>
          <w:rFonts w:ascii="Calibri" w:hAnsi="Calibri"/>
        </w:rPr>
        <w:t>re-</w:t>
      </w:r>
      <w:r w:rsidR="00201118" w:rsidRPr="00201118">
        <w:rPr>
          <w:rFonts w:ascii="Calibri" w:hAnsi="Calibri"/>
        </w:rPr>
        <w:t>inspection is required</w:t>
      </w:r>
      <w:r w:rsidR="0024673B">
        <w:rPr>
          <w:rFonts w:ascii="Calibri" w:hAnsi="Calibri"/>
        </w:rPr>
        <w:t xml:space="preserve"> during the waiver period</w:t>
      </w:r>
      <w:r w:rsidR="00201118" w:rsidRPr="00201118">
        <w:rPr>
          <w:rFonts w:ascii="Calibri" w:hAnsi="Calibri"/>
        </w:rPr>
        <w:t>.</w:t>
      </w:r>
      <w:r>
        <w:rPr>
          <w:rFonts w:ascii="Calibri" w:hAnsi="Calibri"/>
        </w:rPr>
        <w:t xml:space="preserve">  To ensure that units assisted through CoC funds provide safe, decent housing for project participants, p</w:t>
      </w:r>
      <w:r w:rsidR="00201118" w:rsidRPr="00201118">
        <w:rPr>
          <w:rFonts w:ascii="Calibri" w:hAnsi="Calibri"/>
        </w:rPr>
        <w:t xml:space="preserve">rojects should continue to </w:t>
      </w:r>
      <w:r>
        <w:rPr>
          <w:rFonts w:ascii="Calibri" w:hAnsi="Calibri"/>
        </w:rPr>
        <w:t xml:space="preserve">safely </w:t>
      </w:r>
      <w:r w:rsidR="00201118" w:rsidRPr="00201118">
        <w:rPr>
          <w:rFonts w:ascii="Calibri" w:hAnsi="Calibri"/>
        </w:rPr>
        <w:t>perform re-inspections as feasible during the crisis</w:t>
      </w:r>
      <w:r>
        <w:rPr>
          <w:rFonts w:ascii="Calibri" w:hAnsi="Calibri"/>
        </w:rPr>
        <w:t xml:space="preserve"> (e.g., using video technology)</w:t>
      </w:r>
      <w:r w:rsidR="00201118" w:rsidRPr="00201118">
        <w:rPr>
          <w:rFonts w:ascii="Calibri" w:hAnsi="Calibri"/>
        </w:rPr>
        <w:t>.</w:t>
      </w:r>
      <w:r>
        <w:rPr>
          <w:rFonts w:ascii="Calibri" w:hAnsi="Calibri"/>
        </w:rPr>
        <w:t xml:space="preserve">  When projects are unable to perform such inspections</w:t>
      </w:r>
      <w:r w:rsidR="0024673B">
        <w:rPr>
          <w:rFonts w:ascii="Calibri" w:hAnsi="Calibri"/>
        </w:rPr>
        <w:t xml:space="preserve"> (e.g., due to COVID-19 related staff re-assignments), </w:t>
      </w:r>
      <w:r>
        <w:rPr>
          <w:rFonts w:ascii="Calibri" w:hAnsi="Calibri"/>
        </w:rPr>
        <w:t>staff should ask participants regularly about unit conditions and seek photo evidence as</w:t>
      </w:r>
      <w:r w:rsidR="0024673B">
        <w:rPr>
          <w:rFonts w:ascii="Calibri" w:hAnsi="Calibri"/>
        </w:rPr>
        <w:t xml:space="preserve"> determined necessary and </w:t>
      </w:r>
      <w:r>
        <w:rPr>
          <w:rFonts w:ascii="Calibri" w:hAnsi="Calibri"/>
        </w:rPr>
        <w:t xml:space="preserve">feasible.  </w:t>
      </w:r>
      <w:r w:rsidR="00AD6131">
        <w:rPr>
          <w:rFonts w:ascii="Calibri" w:hAnsi="Calibri"/>
        </w:rPr>
        <w:t xml:space="preserve">To reduce lead hazard risks, units constructed prior to 1978 housing a child under 6 years of age or a pregnant woman should be prioritized for reinspection.  </w:t>
      </w:r>
      <w:r>
        <w:rPr>
          <w:rFonts w:ascii="Calibri" w:hAnsi="Calibri"/>
        </w:rPr>
        <w:t xml:space="preserve">This waiver does not eliminate the requirement that landlords and tenants maintain units in a manner that is consistent with HQS.  </w:t>
      </w:r>
      <w:r w:rsidR="00BE4C5F">
        <w:rPr>
          <w:rFonts w:ascii="Calibri" w:hAnsi="Calibri"/>
        </w:rPr>
        <w:t>For consistency across funding streams,</w:t>
      </w:r>
      <w:r w:rsidR="00E1491D">
        <w:rPr>
          <w:rFonts w:ascii="Calibri" w:hAnsi="Calibri"/>
        </w:rPr>
        <w:t xml:space="preserve"> </w:t>
      </w:r>
      <w:r w:rsidR="00BE4C5F">
        <w:rPr>
          <w:rFonts w:ascii="Calibri" w:hAnsi="Calibri"/>
        </w:rPr>
        <w:t>d</w:t>
      </w:r>
      <w:r w:rsidR="00E1491D">
        <w:rPr>
          <w:rFonts w:ascii="Calibri" w:hAnsi="Calibri"/>
        </w:rPr>
        <w:t>uring the COVID-19 crisis, DOH is also enabling use of this waiver for ESG RRH.</w:t>
      </w:r>
      <w:r w:rsidR="00DE618E">
        <w:rPr>
          <w:rFonts w:ascii="Calibri" w:hAnsi="Calibri"/>
        </w:rPr>
        <w:t xml:space="preserve"> </w:t>
      </w:r>
    </w:p>
    <w:p w14:paraId="2271CB74" w14:textId="77777777" w:rsidR="00AD6131" w:rsidRPr="00201118" w:rsidRDefault="00AD6131" w:rsidP="00F82FF8">
      <w:pPr>
        <w:jc w:val="both"/>
        <w:rPr>
          <w:rFonts w:ascii="Calibri" w:hAnsi="Calibri"/>
        </w:rPr>
      </w:pPr>
    </w:p>
    <w:p w14:paraId="7484B0ED" w14:textId="0296D6A5" w:rsidR="00EC4BBD" w:rsidRPr="00AD6131" w:rsidRDefault="00EC4BBD" w:rsidP="00F82FF8">
      <w:pPr>
        <w:pStyle w:val="ListParagraph"/>
        <w:numPr>
          <w:ilvl w:val="0"/>
          <w:numId w:val="22"/>
        </w:numPr>
        <w:jc w:val="both"/>
        <w:rPr>
          <w:rFonts w:ascii="Calibri" w:hAnsi="Calibri"/>
        </w:rPr>
      </w:pPr>
      <w:r>
        <w:rPr>
          <w:rFonts w:ascii="Calibri" w:hAnsi="Calibri"/>
          <w:b/>
          <w:bCs/>
        </w:rPr>
        <w:t xml:space="preserve">A </w:t>
      </w:r>
      <w:r w:rsidR="00201118" w:rsidRPr="00EC4BBD">
        <w:rPr>
          <w:rFonts w:ascii="Calibri" w:hAnsi="Calibri"/>
          <w:b/>
          <w:bCs/>
        </w:rPr>
        <w:t xml:space="preserve">written self-certification from the individual seeking </w:t>
      </w:r>
      <w:r w:rsidR="007D10B0">
        <w:rPr>
          <w:rFonts w:ascii="Calibri" w:hAnsi="Calibri"/>
          <w:b/>
          <w:bCs/>
        </w:rPr>
        <w:t>Permanent Supportive Housing (</w:t>
      </w:r>
      <w:r w:rsidR="00201118" w:rsidRPr="00EC4BBD">
        <w:rPr>
          <w:rFonts w:ascii="Calibri" w:hAnsi="Calibri"/>
          <w:b/>
          <w:bCs/>
        </w:rPr>
        <w:t>PSH</w:t>
      </w:r>
      <w:r w:rsidR="007D10B0">
        <w:rPr>
          <w:rFonts w:ascii="Calibri" w:hAnsi="Calibri"/>
          <w:b/>
          <w:bCs/>
        </w:rPr>
        <w:t>)</w:t>
      </w:r>
      <w:r w:rsidR="00201118" w:rsidRPr="00EC4BBD">
        <w:rPr>
          <w:rFonts w:ascii="Calibri" w:hAnsi="Calibri"/>
          <w:b/>
          <w:bCs/>
        </w:rPr>
        <w:t xml:space="preserve"> assistance that they have a qualifying disability is acceptable</w:t>
      </w:r>
      <w:r w:rsidR="00086A22">
        <w:rPr>
          <w:rFonts w:ascii="Calibri" w:hAnsi="Calibri"/>
          <w:b/>
          <w:bCs/>
        </w:rPr>
        <w:t xml:space="preserve"> to initiate assistance.</w:t>
      </w:r>
      <w:r w:rsidR="00B65711">
        <w:rPr>
          <w:rFonts w:ascii="Calibri" w:hAnsi="Calibri"/>
          <w:b/>
          <w:bCs/>
        </w:rPr>
        <w:t xml:space="preserve"> This extends from the date on which it was implemented and ends on 9/30/20</w:t>
      </w:r>
    </w:p>
    <w:p w14:paraId="6FB51F93" w14:textId="77777777" w:rsidR="00AD6131" w:rsidRPr="00EC4BBD" w:rsidRDefault="00AD6131" w:rsidP="00AD6131">
      <w:pPr>
        <w:pStyle w:val="ListParagraph"/>
        <w:jc w:val="both"/>
        <w:rPr>
          <w:rFonts w:ascii="Calibri" w:hAnsi="Calibri"/>
        </w:rPr>
      </w:pPr>
    </w:p>
    <w:p w14:paraId="4CBAE70D" w14:textId="12894DFB" w:rsidR="00201118" w:rsidRDefault="00086A22" w:rsidP="00F82FF8">
      <w:pPr>
        <w:jc w:val="both"/>
        <w:rPr>
          <w:rFonts w:ascii="Calibri" w:hAnsi="Calibri"/>
        </w:rPr>
      </w:pPr>
      <w:r>
        <w:rPr>
          <w:rFonts w:ascii="Calibri" w:hAnsi="Calibri"/>
        </w:rPr>
        <w:t xml:space="preserve">PSH remains the most intensive and costly housing resource that CT BOS has available to help end homelessness.  To ensure that this scarce resource continues to be used efficiently to assist </w:t>
      </w:r>
      <w:r w:rsidR="0024673B">
        <w:rPr>
          <w:rFonts w:ascii="Calibri" w:hAnsi="Calibri"/>
        </w:rPr>
        <w:t xml:space="preserve">only </w:t>
      </w:r>
      <w:r>
        <w:rPr>
          <w:rFonts w:ascii="Calibri" w:hAnsi="Calibri"/>
        </w:rPr>
        <w:t xml:space="preserve">those with qualifying disabilities, </w:t>
      </w:r>
      <w:r w:rsidR="00201118" w:rsidRPr="00201118">
        <w:rPr>
          <w:rFonts w:ascii="Calibri" w:hAnsi="Calibri"/>
        </w:rPr>
        <w:t>DOH is requiring CANs to:</w:t>
      </w:r>
    </w:p>
    <w:p w14:paraId="38815F3D" w14:textId="77777777" w:rsidR="00AD6131" w:rsidRPr="00201118" w:rsidRDefault="00AD6131" w:rsidP="00F82FF8">
      <w:pPr>
        <w:jc w:val="both"/>
        <w:rPr>
          <w:rFonts w:ascii="Calibri" w:hAnsi="Calibri"/>
        </w:rPr>
      </w:pPr>
    </w:p>
    <w:p w14:paraId="393EB5FE" w14:textId="63A69EE6" w:rsidR="00201118" w:rsidRPr="00201118" w:rsidRDefault="00201118" w:rsidP="00F82FF8">
      <w:pPr>
        <w:numPr>
          <w:ilvl w:val="1"/>
          <w:numId w:val="25"/>
        </w:numPr>
        <w:jc w:val="both"/>
        <w:rPr>
          <w:rFonts w:ascii="Calibri" w:hAnsi="Calibri"/>
        </w:rPr>
      </w:pPr>
      <w:r w:rsidRPr="00201118">
        <w:rPr>
          <w:rFonts w:ascii="Calibri" w:hAnsi="Calibri"/>
        </w:rPr>
        <w:t xml:space="preserve">Obtain third-party disability verification </w:t>
      </w:r>
      <w:r w:rsidR="00086A22">
        <w:rPr>
          <w:rFonts w:ascii="Calibri" w:hAnsi="Calibri"/>
        </w:rPr>
        <w:t xml:space="preserve">using the existing </w:t>
      </w:r>
      <w:hyperlink r:id="rId16" w:history="1">
        <w:r w:rsidR="00086A22" w:rsidRPr="00086A22">
          <w:rPr>
            <w:rStyle w:val="Hyperlink"/>
            <w:rFonts w:ascii="Calibri" w:hAnsi="Calibri"/>
          </w:rPr>
          <w:t xml:space="preserve">CT Disabling Condition Verification </w:t>
        </w:r>
        <w:r w:rsidR="00086A22">
          <w:rPr>
            <w:rStyle w:val="Hyperlink"/>
            <w:rFonts w:ascii="Calibri" w:hAnsi="Calibri"/>
          </w:rPr>
          <w:t>F</w:t>
        </w:r>
        <w:r w:rsidR="00086A22" w:rsidRPr="00086A22">
          <w:rPr>
            <w:rStyle w:val="Hyperlink"/>
            <w:rFonts w:ascii="Calibri" w:hAnsi="Calibri"/>
          </w:rPr>
          <w:t>orm</w:t>
        </w:r>
      </w:hyperlink>
      <w:r w:rsidR="00086A22">
        <w:rPr>
          <w:rFonts w:ascii="Calibri" w:hAnsi="Calibri"/>
        </w:rPr>
        <w:t xml:space="preserve"> </w:t>
      </w:r>
      <w:r w:rsidRPr="00201118">
        <w:rPr>
          <w:rFonts w:ascii="Calibri" w:hAnsi="Calibri"/>
        </w:rPr>
        <w:t>prior to admission whenever feasible</w:t>
      </w:r>
      <w:r w:rsidR="00086A22">
        <w:rPr>
          <w:rFonts w:ascii="Calibri" w:hAnsi="Calibri"/>
        </w:rPr>
        <w:t>.  U</w:t>
      </w:r>
      <w:r w:rsidRPr="00201118">
        <w:rPr>
          <w:rFonts w:ascii="Calibri" w:hAnsi="Calibri"/>
        </w:rPr>
        <w:t>se this waiver only as necessary to ensure that applicants suspected to have a qualifying disability are not prevented from accessing PSH when third-party disability verification is not available.</w:t>
      </w:r>
      <w:r w:rsidR="00086A22">
        <w:rPr>
          <w:rFonts w:ascii="Calibri" w:hAnsi="Calibri"/>
        </w:rPr>
        <w:t xml:space="preserve">  </w:t>
      </w:r>
    </w:p>
    <w:p w14:paraId="63546503" w14:textId="77777777" w:rsidR="00EC2394" w:rsidRDefault="00EC2394" w:rsidP="003D161D">
      <w:pPr>
        <w:numPr>
          <w:ilvl w:val="1"/>
          <w:numId w:val="25"/>
        </w:numPr>
        <w:jc w:val="both"/>
        <w:rPr>
          <w:rFonts w:ascii="Calibri" w:hAnsi="Calibri"/>
        </w:rPr>
      </w:pPr>
      <w:r>
        <w:rPr>
          <w:rFonts w:ascii="Calibri" w:hAnsi="Calibri"/>
        </w:rPr>
        <w:t>For all participants for whom the above verification cannot be obtained, o</w:t>
      </w:r>
      <w:r w:rsidR="00201118" w:rsidRPr="00201118">
        <w:rPr>
          <w:rFonts w:ascii="Calibri" w:hAnsi="Calibri"/>
        </w:rPr>
        <w:t>btain documentation from an intake worker, case manager, CAN staff person, or referring agency staff person recording that they have observed a suspected qualifying disability.</w:t>
      </w:r>
    </w:p>
    <w:p w14:paraId="7B2EC165" w14:textId="4039AA8E" w:rsidR="00EC2394" w:rsidRPr="00EC2394" w:rsidRDefault="00EC2394" w:rsidP="003D161D">
      <w:pPr>
        <w:numPr>
          <w:ilvl w:val="1"/>
          <w:numId w:val="25"/>
        </w:numPr>
        <w:jc w:val="both"/>
        <w:rPr>
          <w:rFonts w:ascii="Calibri" w:hAnsi="Calibri"/>
        </w:rPr>
      </w:pPr>
      <w:r w:rsidRPr="00EC2394">
        <w:rPr>
          <w:rFonts w:ascii="Calibri" w:hAnsi="Calibri"/>
        </w:rPr>
        <w:t xml:space="preserve">For all participants for whom </w:t>
      </w:r>
      <w:r w:rsidR="0024673B">
        <w:rPr>
          <w:rFonts w:ascii="Calibri" w:hAnsi="Calibri"/>
        </w:rPr>
        <w:t xml:space="preserve">neither the usual third-party disability documentation nor </w:t>
      </w:r>
      <w:r w:rsidRPr="00EC2394">
        <w:rPr>
          <w:rFonts w:ascii="Calibri" w:hAnsi="Calibri"/>
        </w:rPr>
        <w:t>documentation of staff observation of a suspected qualifying disability is not immediately available, obtain a written self-certification from the individual seeking PSH assistance that they have a qualifying disability</w:t>
      </w:r>
      <w:r>
        <w:rPr>
          <w:rFonts w:ascii="Calibri" w:hAnsi="Calibri"/>
        </w:rPr>
        <w:t>.  Such self-certification</w:t>
      </w:r>
      <w:r w:rsidRPr="00EC2394">
        <w:rPr>
          <w:rFonts w:ascii="Calibri" w:hAnsi="Calibri"/>
        </w:rPr>
        <w:t xml:space="preserve"> is acceptable to initiate assistance</w:t>
      </w:r>
      <w:r>
        <w:rPr>
          <w:rFonts w:ascii="Calibri" w:hAnsi="Calibri"/>
        </w:rPr>
        <w:t xml:space="preserve">, while </w:t>
      </w:r>
      <w:r w:rsidR="0024673B">
        <w:rPr>
          <w:rFonts w:ascii="Calibri" w:hAnsi="Calibri"/>
        </w:rPr>
        <w:t xml:space="preserve">the usual third-party or staff observation </w:t>
      </w:r>
      <w:r>
        <w:rPr>
          <w:rFonts w:ascii="Calibri" w:hAnsi="Calibri"/>
        </w:rPr>
        <w:t>documentation is obtained.</w:t>
      </w:r>
    </w:p>
    <w:p w14:paraId="78074813" w14:textId="77777777" w:rsidR="00AD6131" w:rsidRDefault="00AD6131" w:rsidP="00F82FF8">
      <w:pPr>
        <w:jc w:val="both"/>
        <w:rPr>
          <w:rFonts w:cstheme="minorHAnsi"/>
        </w:rPr>
      </w:pPr>
    </w:p>
    <w:p w14:paraId="5204966B" w14:textId="4A64EE4C" w:rsidR="0024673B" w:rsidRDefault="00D41E04" w:rsidP="00F82FF8">
      <w:pPr>
        <w:jc w:val="both"/>
        <w:rPr>
          <w:rFonts w:asciiTheme="minorHAnsi" w:hAnsiTheme="minorHAnsi" w:cstheme="minorHAnsi"/>
        </w:rPr>
      </w:pPr>
      <w:r w:rsidRPr="00AD6131">
        <w:rPr>
          <w:rFonts w:asciiTheme="minorHAnsi" w:hAnsiTheme="minorHAnsi" w:cstheme="minorHAnsi"/>
        </w:rPr>
        <w:t xml:space="preserve">When use of the existing </w:t>
      </w:r>
      <w:hyperlink r:id="rId17" w:history="1">
        <w:r w:rsidRPr="00AD6131">
          <w:rPr>
            <w:rStyle w:val="Hyperlink"/>
            <w:rFonts w:asciiTheme="minorHAnsi" w:hAnsiTheme="minorHAnsi" w:cstheme="minorHAnsi"/>
          </w:rPr>
          <w:t>CT Disabling Condition Verification Form</w:t>
        </w:r>
      </w:hyperlink>
      <w:r w:rsidRPr="00AD6131">
        <w:rPr>
          <w:rFonts w:asciiTheme="minorHAnsi" w:hAnsiTheme="minorHAnsi" w:cstheme="minorHAnsi"/>
        </w:rPr>
        <w:t xml:space="preserve"> is not feasible, all CANS and PSH projects are required by DOH and DMHAS to use the </w:t>
      </w:r>
      <w:hyperlink r:id="rId18" w:history="1">
        <w:r w:rsidR="00793596" w:rsidRPr="00AD6131">
          <w:rPr>
            <w:rStyle w:val="Hyperlink"/>
            <w:rFonts w:asciiTheme="minorHAnsi" w:hAnsiTheme="minorHAnsi" w:cstheme="minorHAnsi"/>
          </w:rPr>
          <w:t xml:space="preserve">CT </w:t>
        </w:r>
        <w:r w:rsidRPr="00AD6131">
          <w:rPr>
            <w:rStyle w:val="Hyperlink"/>
            <w:rFonts w:asciiTheme="minorHAnsi" w:hAnsiTheme="minorHAnsi" w:cstheme="minorHAnsi"/>
          </w:rPr>
          <w:t xml:space="preserve">Disabling Condition Form </w:t>
        </w:r>
        <w:r w:rsidR="00793596" w:rsidRPr="00AD6131">
          <w:rPr>
            <w:rStyle w:val="Hyperlink"/>
            <w:rFonts w:asciiTheme="minorHAnsi" w:hAnsiTheme="minorHAnsi" w:cstheme="minorHAnsi"/>
          </w:rPr>
          <w:t xml:space="preserve">with COVID-19 Waiver Option. </w:t>
        </w:r>
      </w:hyperlink>
      <w:r w:rsidR="00793596" w:rsidRPr="00AD6131">
        <w:rPr>
          <w:rFonts w:asciiTheme="minorHAnsi" w:hAnsiTheme="minorHAnsi" w:cstheme="minorHAnsi"/>
        </w:rPr>
        <w:t xml:space="preserve"> </w:t>
      </w:r>
    </w:p>
    <w:p w14:paraId="1D16BAF2" w14:textId="77777777" w:rsidR="00AD6131" w:rsidRPr="00AD6131" w:rsidRDefault="00AD6131" w:rsidP="00F82FF8">
      <w:pPr>
        <w:jc w:val="both"/>
        <w:rPr>
          <w:rFonts w:asciiTheme="minorHAnsi" w:hAnsiTheme="minorHAnsi" w:cstheme="minorHAnsi"/>
        </w:rPr>
      </w:pPr>
    </w:p>
    <w:p w14:paraId="5691DED5" w14:textId="0C0E8785" w:rsidR="00EC4BBD" w:rsidRDefault="00201118" w:rsidP="00F82FF8">
      <w:pPr>
        <w:jc w:val="both"/>
        <w:rPr>
          <w:rFonts w:asciiTheme="minorHAnsi" w:hAnsiTheme="minorHAnsi" w:cstheme="minorHAnsi"/>
        </w:rPr>
      </w:pPr>
      <w:r w:rsidRPr="00AD6131">
        <w:rPr>
          <w:rFonts w:asciiTheme="minorHAnsi" w:hAnsiTheme="minorHAnsi" w:cstheme="minorHAnsi"/>
        </w:rPr>
        <w:t xml:space="preserve">PSH projects that admit a participant based on self-certification or worker observation of disability are </w:t>
      </w:r>
      <w:r w:rsidRPr="00AD6131">
        <w:rPr>
          <w:rFonts w:asciiTheme="minorHAnsi" w:hAnsiTheme="minorHAnsi" w:cstheme="minorHAnsi"/>
          <w:b/>
          <w:bCs/>
        </w:rPr>
        <w:t>NOT</w:t>
      </w:r>
      <w:r w:rsidRPr="00AD6131">
        <w:rPr>
          <w:rFonts w:asciiTheme="minorHAnsi" w:hAnsiTheme="minorHAnsi" w:cstheme="minorHAnsi"/>
        </w:rPr>
        <w:t xml:space="preserve"> required to obtain third-party verification once the crisis is over.  </w:t>
      </w:r>
      <w:r w:rsidR="00D41E04" w:rsidRPr="00AD6131">
        <w:rPr>
          <w:rFonts w:asciiTheme="minorHAnsi" w:hAnsiTheme="minorHAnsi" w:cstheme="minorHAnsi"/>
        </w:rPr>
        <w:t xml:space="preserve">DMHAS </w:t>
      </w:r>
      <w:r w:rsidR="0040125A" w:rsidRPr="00AD6131">
        <w:rPr>
          <w:rFonts w:asciiTheme="minorHAnsi" w:hAnsiTheme="minorHAnsi" w:cstheme="minorHAnsi"/>
        </w:rPr>
        <w:t>is</w:t>
      </w:r>
      <w:r w:rsidR="00D41E04" w:rsidRPr="00AD6131">
        <w:rPr>
          <w:rFonts w:asciiTheme="minorHAnsi" w:hAnsiTheme="minorHAnsi" w:cstheme="minorHAnsi"/>
        </w:rPr>
        <w:t xml:space="preserve"> requiring projects </w:t>
      </w:r>
      <w:r w:rsidRPr="00AD6131">
        <w:rPr>
          <w:rFonts w:asciiTheme="minorHAnsi" w:hAnsiTheme="minorHAnsi" w:cstheme="minorHAnsi"/>
        </w:rPr>
        <w:t xml:space="preserve">that admit a participant based on self-certification </w:t>
      </w:r>
      <w:r w:rsidR="00D41E04" w:rsidRPr="00AD6131">
        <w:rPr>
          <w:rFonts w:asciiTheme="minorHAnsi" w:hAnsiTheme="minorHAnsi" w:cstheme="minorHAnsi"/>
        </w:rPr>
        <w:t>to obtain</w:t>
      </w:r>
      <w:r w:rsidRPr="00AD6131">
        <w:rPr>
          <w:rFonts w:asciiTheme="minorHAnsi" w:hAnsiTheme="minorHAnsi" w:cstheme="minorHAnsi"/>
        </w:rPr>
        <w:t xml:space="preserve"> worker observation of disability</w:t>
      </w:r>
      <w:r w:rsidR="00D41E04" w:rsidRPr="00AD6131">
        <w:rPr>
          <w:rFonts w:asciiTheme="minorHAnsi" w:hAnsiTheme="minorHAnsi" w:cstheme="minorHAnsi"/>
        </w:rPr>
        <w:t xml:space="preserve"> as soon as feasible.</w:t>
      </w:r>
      <w:r w:rsidR="0024673B" w:rsidRPr="00AD6131">
        <w:rPr>
          <w:rFonts w:asciiTheme="minorHAnsi" w:hAnsiTheme="minorHAnsi" w:cstheme="minorHAnsi"/>
        </w:rPr>
        <w:t xml:space="preserve"> The requirements described above pertain to both individuals and families.</w:t>
      </w:r>
    </w:p>
    <w:p w14:paraId="2471B63C" w14:textId="77777777" w:rsidR="00AD6131" w:rsidRPr="00AD6131" w:rsidRDefault="00AD6131" w:rsidP="00F82FF8">
      <w:pPr>
        <w:jc w:val="both"/>
        <w:rPr>
          <w:rFonts w:asciiTheme="minorHAnsi" w:hAnsiTheme="minorHAnsi" w:cstheme="minorHAnsi"/>
        </w:rPr>
      </w:pPr>
    </w:p>
    <w:p w14:paraId="725700F3" w14:textId="3968E920" w:rsidR="00201118" w:rsidRPr="00AD6131" w:rsidRDefault="00201118" w:rsidP="00F82FF8">
      <w:pPr>
        <w:pStyle w:val="ListParagraph"/>
        <w:numPr>
          <w:ilvl w:val="0"/>
          <w:numId w:val="22"/>
        </w:numPr>
        <w:jc w:val="both"/>
        <w:rPr>
          <w:rFonts w:ascii="Calibri" w:hAnsi="Calibri"/>
          <w:b/>
          <w:bCs/>
        </w:rPr>
      </w:pPr>
      <w:r w:rsidRPr="00D41E04">
        <w:rPr>
          <w:rFonts w:ascii="Calibri" w:hAnsi="Calibri"/>
          <w:b/>
          <w:bCs/>
        </w:rPr>
        <w:t xml:space="preserve">The requirement that </w:t>
      </w:r>
      <w:r w:rsidR="007D10B0">
        <w:rPr>
          <w:rFonts w:ascii="Calibri" w:hAnsi="Calibri"/>
          <w:b/>
          <w:bCs/>
        </w:rPr>
        <w:t>Rapid Re-housing (RRH)</w:t>
      </w:r>
      <w:r w:rsidRPr="00D41E04">
        <w:rPr>
          <w:rFonts w:ascii="Calibri" w:hAnsi="Calibri"/>
          <w:b/>
          <w:bCs/>
        </w:rPr>
        <w:t xml:space="preserve"> projects provide case management at least monthly is waived until </w:t>
      </w:r>
      <w:r w:rsidR="00BC6D2A" w:rsidRPr="00BC6D2A">
        <w:rPr>
          <w:rFonts w:ascii="Calibri" w:hAnsi="Calibri"/>
          <w:b/>
          <w:bCs/>
          <w:color w:val="FF0000"/>
        </w:rPr>
        <w:t>8/22/20</w:t>
      </w:r>
    </w:p>
    <w:p w14:paraId="08C4357D" w14:textId="77777777" w:rsidR="00AD6131" w:rsidRPr="00D41E04" w:rsidRDefault="00AD6131" w:rsidP="00AD6131">
      <w:pPr>
        <w:pStyle w:val="ListParagraph"/>
        <w:jc w:val="both"/>
        <w:rPr>
          <w:rFonts w:ascii="Calibri" w:hAnsi="Calibri"/>
          <w:b/>
          <w:bCs/>
        </w:rPr>
      </w:pPr>
    </w:p>
    <w:p w14:paraId="5606A005" w14:textId="7FCA0700" w:rsidR="00BC6D2A" w:rsidRDefault="00BC6D2A" w:rsidP="00F82FF8">
      <w:pPr>
        <w:jc w:val="both"/>
        <w:rPr>
          <w:rFonts w:ascii="Calibri" w:hAnsi="Calibri"/>
          <w:color w:val="FF0000"/>
        </w:rPr>
      </w:pPr>
      <w:r w:rsidRPr="00BC6D2A">
        <w:rPr>
          <w:rFonts w:ascii="Calibri" w:hAnsi="Calibri"/>
          <w:color w:val="FF0000"/>
        </w:rPr>
        <w:t>HUD extended the expiration date for this waiver.  Grantees wishing to use this extension must notify HUD even if they already notified HUD of their intent to use the original waiver – see pages 1 and 2 for notification instructions.</w:t>
      </w:r>
      <w:r>
        <w:rPr>
          <w:rFonts w:ascii="Calibri" w:hAnsi="Calibri"/>
          <w:color w:val="FF0000"/>
        </w:rPr>
        <w:t xml:space="preserve"> Since the original waiver expires on 5/31/20, </w:t>
      </w:r>
      <w:r w:rsidR="004B1DCB">
        <w:rPr>
          <w:rFonts w:ascii="Calibri" w:hAnsi="Calibri"/>
          <w:color w:val="FF0000"/>
        </w:rPr>
        <w:t>and p</w:t>
      </w:r>
      <w:r w:rsidR="004B1DCB" w:rsidRPr="004B1DCB">
        <w:rPr>
          <w:rFonts w:ascii="Calibri" w:hAnsi="Calibri"/>
          <w:color w:val="FF0000"/>
        </w:rPr>
        <w:t>roviders can proceed to use available waivers two calendar days after the recipient submits the notification to HUD</w:t>
      </w:r>
      <w:r w:rsidR="004B1DCB">
        <w:rPr>
          <w:rFonts w:ascii="Calibri" w:hAnsi="Calibri"/>
          <w:color w:val="FF0000"/>
        </w:rPr>
        <w:t>, projects wishing to use this extension without interruption, should submit an updated waiver notification to HUD by 5/29/20.</w:t>
      </w:r>
    </w:p>
    <w:p w14:paraId="20AB39B4" w14:textId="77777777" w:rsidR="004B1DCB" w:rsidRDefault="004B1DCB" w:rsidP="004B1DCB">
      <w:pPr>
        <w:rPr>
          <w:rFonts w:ascii="Calibri" w:hAnsi="Calibri" w:cs="Calibri"/>
          <w:color w:val="FF0000"/>
        </w:rPr>
      </w:pPr>
    </w:p>
    <w:p w14:paraId="05B3E313" w14:textId="1B7AB49D" w:rsidR="004B1DCB" w:rsidRPr="004B1DCB" w:rsidRDefault="004B1DCB" w:rsidP="004B1DCB">
      <w:pPr>
        <w:rPr>
          <w:color w:val="FF0000"/>
        </w:rPr>
      </w:pPr>
      <w:r>
        <w:rPr>
          <w:rFonts w:ascii="Calibri" w:hAnsi="Calibri" w:cs="Calibri"/>
          <w:color w:val="FF0000"/>
        </w:rPr>
        <w:t xml:space="preserve">HUD has also clarified </w:t>
      </w:r>
      <w:r w:rsidRPr="004B1DCB">
        <w:rPr>
          <w:rFonts w:ascii="Calibri" w:hAnsi="Calibri" w:cs="Calibri"/>
          <w:color w:val="FF0000"/>
        </w:rPr>
        <w:t>that the CARES Act prohibits requiring people experiencing homelessness to perform prerequisite activities as a condition for receiving shelter, housing, or other services funded through CARES Act ESG grants.  As such,</w:t>
      </w:r>
      <w:r w:rsidRPr="004B1DCB">
        <w:rPr>
          <w:rStyle w:val="apple-converted-space"/>
          <w:rFonts w:ascii="Calibri" w:hAnsi="Calibri" w:cs="Calibri"/>
          <w:color w:val="FF0000"/>
        </w:rPr>
        <w:t> </w:t>
      </w:r>
      <w:r w:rsidRPr="004B1DCB">
        <w:rPr>
          <w:rFonts w:ascii="Calibri" w:hAnsi="Calibri" w:cs="Calibri"/>
          <w:color w:val="FF0000"/>
        </w:rPr>
        <w:t xml:space="preserve">CARES Act </w:t>
      </w:r>
      <w:r w:rsidR="00F14B4D">
        <w:rPr>
          <w:rFonts w:ascii="Calibri" w:hAnsi="Calibri" w:cs="Calibri"/>
          <w:color w:val="FF0000"/>
        </w:rPr>
        <w:t xml:space="preserve">ESG </w:t>
      </w:r>
      <w:r w:rsidRPr="004B1DCB">
        <w:rPr>
          <w:rFonts w:ascii="Calibri" w:hAnsi="Calibri" w:cs="Calibri"/>
          <w:color w:val="FF0000"/>
        </w:rPr>
        <w:t>prevention and RRH projects may not require people who qualified as homeless at the start of that assistance to meet with a case manager at least monthly.</w:t>
      </w:r>
    </w:p>
    <w:p w14:paraId="047B8A75" w14:textId="77777777" w:rsidR="004B1DCB" w:rsidRPr="004B1DCB" w:rsidRDefault="004B1DCB" w:rsidP="00F82FF8">
      <w:pPr>
        <w:jc w:val="both"/>
        <w:rPr>
          <w:rFonts w:ascii="Calibri" w:hAnsi="Calibri"/>
          <w:color w:val="FF0000"/>
        </w:rPr>
      </w:pPr>
    </w:p>
    <w:p w14:paraId="38AFA524" w14:textId="085C8231" w:rsidR="004B1DCB" w:rsidRDefault="00201118" w:rsidP="00F82FF8">
      <w:pPr>
        <w:jc w:val="both"/>
        <w:rPr>
          <w:rFonts w:ascii="Calibri" w:hAnsi="Calibri"/>
        </w:rPr>
      </w:pPr>
      <w:r w:rsidRPr="00201118">
        <w:rPr>
          <w:rFonts w:ascii="Calibri" w:hAnsi="Calibri"/>
        </w:rPr>
        <w:t>When feasible, DOH requires RRH projects to continue to provide case management at least monthly.</w:t>
      </w:r>
      <w:r w:rsidR="007D10B0">
        <w:rPr>
          <w:rFonts w:ascii="Calibri" w:hAnsi="Calibri"/>
        </w:rPr>
        <w:t xml:space="preserve">  Projects should provide case management services remotely whenever feasible.  When face-to-face case management is determined by the project to be necessary, staff should follow Center for Disease Control (CDC) and local/state public health authorities’ instructions to prevent the spread of the novel Coronavirus.</w:t>
      </w:r>
    </w:p>
    <w:p w14:paraId="5FFB3863" w14:textId="77777777" w:rsidR="007D5ABB" w:rsidRPr="00201118" w:rsidRDefault="007D5ABB" w:rsidP="00F82FF8">
      <w:pPr>
        <w:jc w:val="both"/>
        <w:rPr>
          <w:rFonts w:ascii="Calibri" w:hAnsi="Calibri"/>
        </w:rPr>
      </w:pPr>
    </w:p>
    <w:p w14:paraId="1CB94967" w14:textId="34CCEF27" w:rsidR="007D10B0" w:rsidRDefault="00201118" w:rsidP="00F82FF8">
      <w:pPr>
        <w:pStyle w:val="ListParagraph"/>
        <w:numPr>
          <w:ilvl w:val="0"/>
          <w:numId w:val="22"/>
        </w:numPr>
        <w:jc w:val="both"/>
        <w:rPr>
          <w:rFonts w:ascii="Calibri" w:hAnsi="Calibri"/>
          <w:b/>
          <w:bCs/>
        </w:rPr>
      </w:pPr>
      <w:r w:rsidRPr="007D10B0">
        <w:rPr>
          <w:rFonts w:ascii="Calibri" w:hAnsi="Calibri"/>
          <w:b/>
          <w:bCs/>
        </w:rPr>
        <w:t xml:space="preserve">CoC </w:t>
      </w:r>
      <w:r w:rsidR="007D10B0">
        <w:rPr>
          <w:rFonts w:ascii="Calibri" w:hAnsi="Calibri"/>
          <w:b/>
          <w:bCs/>
        </w:rPr>
        <w:t xml:space="preserve">&amp; </w:t>
      </w:r>
      <w:r w:rsidRPr="007D10B0">
        <w:rPr>
          <w:rFonts w:ascii="Calibri" w:hAnsi="Calibri"/>
          <w:b/>
          <w:bCs/>
        </w:rPr>
        <w:t>ESG RRH</w:t>
      </w:r>
      <w:r w:rsidR="007D10B0">
        <w:rPr>
          <w:rFonts w:ascii="Calibri" w:hAnsi="Calibri"/>
          <w:b/>
          <w:bCs/>
        </w:rPr>
        <w:t xml:space="preserve"> &amp; </w:t>
      </w:r>
      <w:r w:rsidRPr="007D10B0">
        <w:rPr>
          <w:rFonts w:ascii="Calibri" w:hAnsi="Calibri"/>
          <w:b/>
          <w:bCs/>
        </w:rPr>
        <w:t xml:space="preserve">PSH project units may have an initial lease term of any period greater than one month </w:t>
      </w:r>
      <w:r w:rsidR="007C0D8B">
        <w:rPr>
          <w:rFonts w:ascii="Calibri" w:hAnsi="Calibri"/>
          <w:b/>
          <w:bCs/>
        </w:rPr>
        <w:t>until 9/30/20.</w:t>
      </w:r>
    </w:p>
    <w:p w14:paraId="34FF6B88" w14:textId="77777777" w:rsidR="00AD6131" w:rsidRPr="007D10B0" w:rsidRDefault="00AD6131" w:rsidP="00AD6131">
      <w:pPr>
        <w:pStyle w:val="ListParagraph"/>
        <w:jc w:val="both"/>
        <w:rPr>
          <w:rFonts w:ascii="Calibri" w:hAnsi="Calibri"/>
          <w:b/>
          <w:bCs/>
        </w:rPr>
      </w:pPr>
    </w:p>
    <w:p w14:paraId="4F01B7F0" w14:textId="45CD1B5F" w:rsidR="00201118" w:rsidRDefault="007C0D8B" w:rsidP="00F82FF8">
      <w:pPr>
        <w:jc w:val="both"/>
        <w:rPr>
          <w:rFonts w:ascii="Calibri" w:hAnsi="Calibri"/>
        </w:rPr>
      </w:pPr>
      <w:r>
        <w:rPr>
          <w:rFonts w:ascii="Calibri" w:hAnsi="Calibri"/>
        </w:rPr>
        <w:t xml:space="preserve">For example, during the waiver period, </w:t>
      </w:r>
      <w:r w:rsidR="00201118" w:rsidRPr="007C0D8B">
        <w:rPr>
          <w:rFonts w:ascii="Calibri" w:hAnsi="Calibri"/>
        </w:rPr>
        <w:t>a two-month initial lease that then goes month-to-month</w:t>
      </w:r>
      <w:r>
        <w:rPr>
          <w:rFonts w:ascii="Calibri" w:hAnsi="Calibri"/>
        </w:rPr>
        <w:t xml:space="preserve"> would be allowable. </w:t>
      </w:r>
      <w:r w:rsidR="00C526F3">
        <w:rPr>
          <w:rFonts w:ascii="Calibri" w:hAnsi="Calibri"/>
        </w:rPr>
        <w:t xml:space="preserve">This waiver is applicable to all initial leases executed during the waiver period, regardless of whether the lease term extends beyond 9/30/20.  For example, it is allowable for a project to provide rental assistance for a unit with a 6-month lease that starts on 5/1/20 and expires on 10/31/20.  </w:t>
      </w:r>
      <w:r>
        <w:rPr>
          <w:rFonts w:ascii="Calibri" w:hAnsi="Calibri"/>
        </w:rPr>
        <w:t xml:space="preserve">CT BOS strongly encourages </w:t>
      </w:r>
      <w:r w:rsidR="00C526F3">
        <w:rPr>
          <w:rFonts w:ascii="Calibri" w:hAnsi="Calibri"/>
        </w:rPr>
        <w:t xml:space="preserve">projects to help </w:t>
      </w:r>
      <w:r w:rsidR="00201118" w:rsidRPr="00201118">
        <w:rPr>
          <w:rFonts w:ascii="Calibri" w:hAnsi="Calibri"/>
        </w:rPr>
        <w:t>participants to secure a one-year initial lease whenever feasible.</w:t>
      </w:r>
      <w:r>
        <w:rPr>
          <w:rFonts w:ascii="Calibri" w:hAnsi="Calibri"/>
        </w:rPr>
        <w:t xml:space="preserve"> </w:t>
      </w:r>
      <w:r w:rsidR="00C526F3">
        <w:rPr>
          <w:rFonts w:ascii="Calibri" w:hAnsi="Calibri"/>
        </w:rPr>
        <w:t xml:space="preserve"> Please note that, r</w:t>
      </w:r>
      <w:r w:rsidR="00201118" w:rsidRPr="00201118">
        <w:rPr>
          <w:rFonts w:ascii="Calibri" w:hAnsi="Calibri"/>
        </w:rPr>
        <w:t xml:space="preserve">egardless of the </w:t>
      </w:r>
      <w:r>
        <w:rPr>
          <w:rFonts w:ascii="Calibri" w:hAnsi="Calibri"/>
        </w:rPr>
        <w:t xml:space="preserve">initial </w:t>
      </w:r>
      <w:r w:rsidR="00201118" w:rsidRPr="00201118">
        <w:rPr>
          <w:rFonts w:ascii="Calibri" w:hAnsi="Calibri"/>
        </w:rPr>
        <w:t xml:space="preserve">lease term, written </w:t>
      </w:r>
      <w:r w:rsidR="00BE4C5F">
        <w:rPr>
          <w:rFonts w:ascii="Calibri" w:hAnsi="Calibri"/>
        </w:rPr>
        <w:t xml:space="preserve">executed </w:t>
      </w:r>
      <w:r w:rsidR="00201118" w:rsidRPr="00201118">
        <w:rPr>
          <w:rFonts w:ascii="Calibri" w:hAnsi="Calibri"/>
        </w:rPr>
        <w:t>leases remain a requirement</w:t>
      </w:r>
      <w:r>
        <w:rPr>
          <w:rFonts w:ascii="Calibri" w:hAnsi="Calibri"/>
        </w:rPr>
        <w:t>.</w:t>
      </w:r>
      <w:r w:rsidR="00E1491D">
        <w:rPr>
          <w:rFonts w:ascii="Calibri" w:hAnsi="Calibri"/>
        </w:rPr>
        <w:t xml:space="preserve"> </w:t>
      </w:r>
      <w:r w:rsidR="00BE4C5F">
        <w:rPr>
          <w:rFonts w:ascii="Calibri" w:hAnsi="Calibri"/>
        </w:rPr>
        <w:t xml:space="preserve">For consistency across funding streams </w:t>
      </w:r>
      <w:r w:rsidR="00E1491D">
        <w:rPr>
          <w:rFonts w:ascii="Calibri" w:hAnsi="Calibri"/>
        </w:rPr>
        <w:t>During the COVID-19 crisis, DOH is also enabling use of this waiver for ESG RRH.</w:t>
      </w:r>
    </w:p>
    <w:p w14:paraId="689FD29E" w14:textId="77777777" w:rsidR="00AD6131" w:rsidRPr="00201118" w:rsidRDefault="00AD6131" w:rsidP="00F82FF8">
      <w:pPr>
        <w:jc w:val="both"/>
        <w:rPr>
          <w:rFonts w:ascii="Calibri" w:hAnsi="Calibri"/>
        </w:rPr>
      </w:pPr>
    </w:p>
    <w:p w14:paraId="1437EC22" w14:textId="565FDFB3" w:rsidR="00201118" w:rsidRDefault="00201118" w:rsidP="00F82FF8">
      <w:pPr>
        <w:pStyle w:val="ListParagraph"/>
        <w:numPr>
          <w:ilvl w:val="0"/>
          <w:numId w:val="22"/>
        </w:numPr>
        <w:jc w:val="both"/>
        <w:rPr>
          <w:rFonts w:ascii="Calibri" w:hAnsi="Calibri"/>
          <w:b/>
          <w:bCs/>
        </w:rPr>
      </w:pPr>
      <w:r w:rsidRPr="00C526F3">
        <w:rPr>
          <w:rFonts w:ascii="Calibri" w:hAnsi="Calibri"/>
          <w:b/>
          <w:bCs/>
        </w:rPr>
        <w:t xml:space="preserve">The requirement that CoC Leasing </w:t>
      </w:r>
      <w:r w:rsidR="00BE4C5F">
        <w:rPr>
          <w:rFonts w:ascii="Calibri" w:hAnsi="Calibri"/>
          <w:b/>
          <w:bCs/>
        </w:rPr>
        <w:t>p</w:t>
      </w:r>
      <w:r w:rsidRPr="00C526F3">
        <w:rPr>
          <w:rFonts w:ascii="Calibri" w:hAnsi="Calibri"/>
          <w:b/>
          <w:bCs/>
        </w:rPr>
        <w:t xml:space="preserve">roject and ESG RRH </w:t>
      </w:r>
      <w:r w:rsidR="00BE4C5F">
        <w:rPr>
          <w:rFonts w:ascii="Calibri" w:hAnsi="Calibri"/>
          <w:b/>
          <w:bCs/>
        </w:rPr>
        <w:t>p</w:t>
      </w:r>
      <w:r w:rsidRPr="00C526F3">
        <w:rPr>
          <w:rFonts w:ascii="Calibri" w:hAnsi="Calibri"/>
          <w:b/>
          <w:bCs/>
        </w:rPr>
        <w:t>roject units must rent at or below FMR is waived until 9/30/20.</w:t>
      </w:r>
    </w:p>
    <w:p w14:paraId="3715A9DF" w14:textId="77777777" w:rsidR="00AD6131" w:rsidRPr="00C526F3" w:rsidRDefault="00AD6131" w:rsidP="00AD6131">
      <w:pPr>
        <w:pStyle w:val="ListParagraph"/>
        <w:jc w:val="both"/>
        <w:rPr>
          <w:rFonts w:ascii="Calibri" w:hAnsi="Calibri"/>
          <w:b/>
          <w:bCs/>
        </w:rPr>
      </w:pPr>
    </w:p>
    <w:p w14:paraId="0D9286AA" w14:textId="5522B3AA" w:rsidR="00201118" w:rsidRDefault="00201118" w:rsidP="00F82FF8">
      <w:pPr>
        <w:jc w:val="both"/>
        <w:rPr>
          <w:rFonts w:ascii="Calibri" w:hAnsi="Calibri"/>
        </w:rPr>
      </w:pPr>
      <w:r w:rsidRPr="00201118">
        <w:rPr>
          <w:rFonts w:ascii="Calibri" w:hAnsi="Calibri"/>
        </w:rPr>
        <w:t xml:space="preserve">Projects must </w:t>
      </w:r>
      <w:r w:rsidR="00C526F3">
        <w:rPr>
          <w:rFonts w:ascii="Calibri" w:hAnsi="Calibri"/>
        </w:rPr>
        <w:t xml:space="preserve">continue to </w:t>
      </w:r>
      <w:r w:rsidRPr="00201118">
        <w:rPr>
          <w:rFonts w:ascii="Calibri" w:hAnsi="Calibri"/>
        </w:rPr>
        <w:t>document</w:t>
      </w:r>
      <w:r w:rsidR="00C526F3">
        <w:rPr>
          <w:rFonts w:ascii="Calibri" w:hAnsi="Calibri"/>
        </w:rPr>
        <w:t xml:space="preserve"> </w:t>
      </w:r>
      <w:hyperlink r:id="rId19" w:history="1">
        <w:r w:rsidRPr="00201118">
          <w:rPr>
            <w:rStyle w:val="Hyperlink"/>
            <w:rFonts w:ascii="Calibri" w:hAnsi="Calibri"/>
            <w:b/>
            <w:bCs/>
          </w:rPr>
          <w:t>rent reasonableness</w:t>
        </w:r>
      </w:hyperlink>
      <w:r w:rsidRPr="00201118">
        <w:rPr>
          <w:rFonts w:ascii="Calibri" w:hAnsi="Calibri"/>
          <w:b/>
          <w:bCs/>
        </w:rPr>
        <w:t xml:space="preserve"> </w:t>
      </w:r>
      <w:r w:rsidR="00C526F3" w:rsidRPr="00C526F3">
        <w:rPr>
          <w:rFonts w:ascii="Calibri" w:hAnsi="Calibri"/>
        </w:rPr>
        <w:t>based on three comparable units</w:t>
      </w:r>
      <w:r w:rsidR="00C526F3">
        <w:rPr>
          <w:rFonts w:ascii="Calibri" w:hAnsi="Calibri"/>
          <w:b/>
          <w:bCs/>
        </w:rPr>
        <w:t xml:space="preserve"> </w:t>
      </w:r>
      <w:r w:rsidRPr="00201118">
        <w:rPr>
          <w:rFonts w:ascii="Calibri" w:hAnsi="Calibri"/>
        </w:rPr>
        <w:t>for all assisted units.</w:t>
      </w:r>
      <w:r w:rsidR="00C526F3" w:rsidRPr="00C526F3">
        <w:rPr>
          <w:rFonts w:ascii="Calibri" w:hAnsi="Calibri"/>
        </w:rPr>
        <w:t xml:space="preserve"> </w:t>
      </w:r>
      <w:r w:rsidR="00C526F3">
        <w:rPr>
          <w:rFonts w:ascii="Calibri" w:hAnsi="Calibri"/>
        </w:rPr>
        <w:t xml:space="preserve"> </w:t>
      </w:r>
      <w:r w:rsidRPr="00201118">
        <w:rPr>
          <w:rFonts w:ascii="Calibri" w:hAnsi="Calibri"/>
        </w:rPr>
        <w:t>In order to ensure efficient use of scarce resources</w:t>
      </w:r>
      <w:r w:rsidR="00594B56">
        <w:rPr>
          <w:rFonts w:ascii="Calibri" w:hAnsi="Calibri"/>
        </w:rPr>
        <w:t xml:space="preserve"> and</w:t>
      </w:r>
      <w:r w:rsidRPr="00201118">
        <w:rPr>
          <w:rFonts w:ascii="Calibri" w:hAnsi="Calibri"/>
        </w:rPr>
        <w:t xml:space="preserve"> maximize RRH unit affordability once assistance ends, </w:t>
      </w:r>
      <w:r w:rsidR="00C526F3">
        <w:rPr>
          <w:rFonts w:ascii="Calibri" w:hAnsi="Calibri"/>
        </w:rPr>
        <w:t>CT BOS strongly encourages projects to</w:t>
      </w:r>
      <w:r w:rsidRPr="00201118">
        <w:rPr>
          <w:rFonts w:ascii="Calibri" w:hAnsi="Calibri"/>
        </w:rPr>
        <w:t xml:space="preserve"> lease units above FMR only </w:t>
      </w:r>
      <w:r w:rsidR="0040125A">
        <w:rPr>
          <w:rFonts w:ascii="Calibri" w:hAnsi="Calibri"/>
        </w:rPr>
        <w:t>as</w:t>
      </w:r>
      <w:r w:rsidRPr="00201118">
        <w:rPr>
          <w:rFonts w:ascii="Calibri" w:hAnsi="Calibri"/>
        </w:rPr>
        <w:t xml:space="preserve"> necessary.</w:t>
      </w:r>
      <w:r w:rsidR="00C526F3">
        <w:rPr>
          <w:rFonts w:ascii="Calibri" w:hAnsi="Calibri"/>
        </w:rPr>
        <w:t xml:space="preserve">  </w:t>
      </w:r>
      <w:r w:rsidR="00594B56">
        <w:rPr>
          <w:rFonts w:ascii="Calibri" w:hAnsi="Calibri"/>
        </w:rPr>
        <w:t xml:space="preserve">Doing so will also help to ensure that after the waiver expires, participants can remain in their current unit without having to renegotiate the rent amount with the landlord.  </w:t>
      </w:r>
      <w:r w:rsidR="0040125A">
        <w:rPr>
          <w:rFonts w:ascii="Calibri" w:hAnsi="Calibri"/>
        </w:rPr>
        <w:t>The</w:t>
      </w:r>
      <w:r w:rsidRPr="00201118">
        <w:rPr>
          <w:rFonts w:ascii="Calibri" w:hAnsi="Calibri"/>
        </w:rPr>
        <w:t xml:space="preserve"> FMR waiver applies to the lease term, i.e., projects can continue to pay the higher rent for units leased during the waiver period through the end of the lease term</w:t>
      </w:r>
      <w:r w:rsidR="00BE4C5F">
        <w:rPr>
          <w:rFonts w:ascii="Calibri" w:hAnsi="Calibri"/>
        </w:rPr>
        <w:t xml:space="preserve">, even if that term extends beyond the waiver period.  For example, a CoC Leasing project could continue to pay rent that exceeds FMR for a </w:t>
      </w:r>
      <w:proofErr w:type="gramStart"/>
      <w:r w:rsidR="00BE4C5F">
        <w:rPr>
          <w:rFonts w:ascii="Calibri" w:hAnsi="Calibri"/>
        </w:rPr>
        <w:t>12 month</w:t>
      </w:r>
      <w:proofErr w:type="gramEnd"/>
      <w:r w:rsidR="00BE4C5F">
        <w:rPr>
          <w:rFonts w:ascii="Calibri" w:hAnsi="Calibri"/>
        </w:rPr>
        <w:t xml:space="preserve"> lease executed on 5/1/20 and expiring on 4/30/2</w:t>
      </w:r>
      <w:r w:rsidR="002E1239">
        <w:rPr>
          <w:rFonts w:ascii="Calibri" w:hAnsi="Calibri"/>
        </w:rPr>
        <w:t>1</w:t>
      </w:r>
      <w:r w:rsidR="00BE4C5F">
        <w:rPr>
          <w:rFonts w:ascii="Calibri" w:hAnsi="Calibri"/>
        </w:rPr>
        <w:t>.</w:t>
      </w:r>
      <w:r w:rsidR="00C526F3">
        <w:rPr>
          <w:rFonts w:ascii="Calibri" w:hAnsi="Calibri"/>
        </w:rPr>
        <w:t xml:space="preserve">  </w:t>
      </w:r>
      <w:r w:rsidR="0040125A">
        <w:rPr>
          <w:rFonts w:ascii="Calibri" w:hAnsi="Calibri"/>
        </w:rPr>
        <w:t xml:space="preserve">Please note that, even prior to the waiver, </w:t>
      </w:r>
      <w:r w:rsidRPr="00201118">
        <w:rPr>
          <w:rFonts w:ascii="Calibri" w:hAnsi="Calibri"/>
        </w:rPr>
        <w:t>CoC Rental Assistance projects were able to lease units above FMR</w:t>
      </w:r>
      <w:r w:rsidR="0040125A">
        <w:rPr>
          <w:rFonts w:ascii="Calibri" w:hAnsi="Calibri"/>
        </w:rPr>
        <w:t xml:space="preserve"> as long as rent reasonableness is documented.</w:t>
      </w:r>
    </w:p>
    <w:p w14:paraId="2F5370ED" w14:textId="77777777" w:rsidR="00AD6131" w:rsidRPr="00201118" w:rsidRDefault="00AD6131" w:rsidP="00F82FF8">
      <w:pPr>
        <w:jc w:val="both"/>
        <w:rPr>
          <w:rFonts w:ascii="Calibri" w:hAnsi="Calibri"/>
        </w:rPr>
      </w:pPr>
    </w:p>
    <w:p w14:paraId="122CEAFC" w14:textId="7BAF88B7" w:rsidR="00201118" w:rsidRDefault="00BE4C5F" w:rsidP="00F82FF8">
      <w:pPr>
        <w:pStyle w:val="ListParagraph"/>
        <w:numPr>
          <w:ilvl w:val="0"/>
          <w:numId w:val="22"/>
        </w:numPr>
        <w:jc w:val="both"/>
        <w:rPr>
          <w:rFonts w:ascii="Calibri" w:hAnsi="Calibri"/>
          <w:b/>
          <w:bCs/>
        </w:rPr>
      </w:pPr>
      <w:r>
        <w:rPr>
          <w:rFonts w:ascii="Calibri" w:hAnsi="Calibri"/>
          <w:b/>
          <w:bCs/>
        </w:rPr>
        <w:t>U</w:t>
      </w:r>
      <w:r w:rsidRPr="0040125A">
        <w:rPr>
          <w:rFonts w:ascii="Calibri" w:hAnsi="Calibri"/>
          <w:b/>
          <w:bCs/>
        </w:rPr>
        <w:t>ntil 4/1/21</w:t>
      </w:r>
      <w:r>
        <w:rPr>
          <w:rFonts w:ascii="Calibri" w:hAnsi="Calibri"/>
          <w:b/>
          <w:bCs/>
        </w:rPr>
        <w:t xml:space="preserve"> </w:t>
      </w:r>
      <w:r w:rsidR="00201118" w:rsidRPr="0040125A">
        <w:rPr>
          <w:rFonts w:ascii="Calibri" w:hAnsi="Calibri"/>
          <w:b/>
          <w:bCs/>
        </w:rPr>
        <w:t xml:space="preserve">CoC projects may use funds on the Supportive Services Budget Line Item, to pay for up to 6 months for rental and utility arrears </w:t>
      </w:r>
      <w:r w:rsidR="00201118" w:rsidRPr="0040125A">
        <w:rPr>
          <w:rFonts w:ascii="Calibri" w:hAnsi="Calibri"/>
          <w:b/>
          <w:bCs/>
          <w:u w:val="single"/>
        </w:rPr>
        <w:t xml:space="preserve">ONLY </w:t>
      </w:r>
      <w:r w:rsidR="00201118" w:rsidRPr="0040125A">
        <w:rPr>
          <w:rFonts w:ascii="Calibri" w:hAnsi="Calibri"/>
          <w:b/>
          <w:bCs/>
        </w:rPr>
        <w:t>when such arrears prevent participants from obtaining housing</w:t>
      </w:r>
      <w:r w:rsidR="00AD6131">
        <w:rPr>
          <w:rFonts w:ascii="Calibri" w:hAnsi="Calibri"/>
          <w:b/>
          <w:bCs/>
        </w:rPr>
        <w:t>.</w:t>
      </w:r>
    </w:p>
    <w:p w14:paraId="7B47E76B" w14:textId="77777777" w:rsidR="00AD6131" w:rsidRPr="0040125A" w:rsidRDefault="00AD6131" w:rsidP="00AD6131">
      <w:pPr>
        <w:pStyle w:val="ListParagraph"/>
        <w:jc w:val="both"/>
        <w:rPr>
          <w:rFonts w:ascii="Calibri" w:hAnsi="Calibri"/>
          <w:b/>
          <w:bCs/>
        </w:rPr>
      </w:pPr>
    </w:p>
    <w:p w14:paraId="7F65DD96" w14:textId="181CD283" w:rsidR="00201118" w:rsidRDefault="00201118" w:rsidP="003D161D">
      <w:pPr>
        <w:rPr>
          <w:rFonts w:ascii="Calibri" w:hAnsi="Calibri"/>
        </w:rPr>
      </w:pPr>
      <w:r w:rsidRPr="00201118">
        <w:rPr>
          <w:rFonts w:ascii="Calibri" w:hAnsi="Calibri"/>
        </w:rPr>
        <w:t>CoC funds may not be used to pay for arrears to prevent eviction or utility shut-offs.</w:t>
      </w:r>
      <w:r w:rsidR="0040125A">
        <w:rPr>
          <w:rFonts w:ascii="Calibri" w:hAnsi="Calibri"/>
        </w:rPr>
        <w:t xml:space="preserve"> </w:t>
      </w:r>
      <w:r w:rsidRPr="00201118">
        <w:rPr>
          <w:rFonts w:ascii="Calibri" w:hAnsi="Calibri"/>
        </w:rPr>
        <w:t xml:space="preserve">Applicable circumstances </w:t>
      </w:r>
      <w:r w:rsidR="0040125A">
        <w:rPr>
          <w:rFonts w:ascii="Calibri" w:hAnsi="Calibri"/>
        </w:rPr>
        <w:t>in which CoC funds may be used to pay for arrears</w:t>
      </w:r>
      <w:r w:rsidR="00BE4C5F">
        <w:rPr>
          <w:rFonts w:ascii="Calibri" w:hAnsi="Calibri"/>
        </w:rPr>
        <w:t xml:space="preserve"> </w:t>
      </w:r>
      <w:r w:rsidRPr="00201118">
        <w:rPr>
          <w:rFonts w:ascii="Calibri" w:hAnsi="Calibri"/>
        </w:rPr>
        <w:t>include:</w:t>
      </w:r>
    </w:p>
    <w:p w14:paraId="24C4B326" w14:textId="77777777" w:rsidR="00AD6131" w:rsidRPr="00201118" w:rsidRDefault="00AD6131" w:rsidP="003D161D">
      <w:pPr>
        <w:rPr>
          <w:rFonts w:ascii="Calibri" w:hAnsi="Calibri"/>
        </w:rPr>
      </w:pPr>
    </w:p>
    <w:p w14:paraId="01F2CFB0" w14:textId="4A9BEA9B" w:rsidR="00201118" w:rsidRPr="00201118" w:rsidRDefault="00201118" w:rsidP="003D161D">
      <w:pPr>
        <w:numPr>
          <w:ilvl w:val="0"/>
          <w:numId w:val="19"/>
        </w:numPr>
        <w:rPr>
          <w:rFonts w:ascii="Calibri" w:hAnsi="Calibri"/>
        </w:rPr>
      </w:pPr>
      <w:r w:rsidRPr="00201118">
        <w:rPr>
          <w:rFonts w:ascii="Calibri" w:hAnsi="Calibri"/>
        </w:rPr>
        <w:t>Paying utility arrears to enable a participant to obtain utilities in a newly leased unit</w:t>
      </w:r>
      <w:r w:rsidR="0040125A">
        <w:rPr>
          <w:rFonts w:ascii="Calibri" w:hAnsi="Calibri"/>
        </w:rPr>
        <w:t>.</w:t>
      </w:r>
    </w:p>
    <w:p w14:paraId="5B1640B8" w14:textId="29197E31" w:rsidR="00201118" w:rsidRDefault="00201118" w:rsidP="003D161D">
      <w:pPr>
        <w:numPr>
          <w:ilvl w:val="0"/>
          <w:numId w:val="19"/>
        </w:numPr>
        <w:rPr>
          <w:rFonts w:ascii="Calibri" w:hAnsi="Calibri"/>
        </w:rPr>
      </w:pPr>
      <w:r w:rsidRPr="00201118">
        <w:rPr>
          <w:rFonts w:ascii="Calibri" w:hAnsi="Calibri"/>
        </w:rPr>
        <w:t>Paying rental arrears to a PHA or private landlord who requires such payment in order to lease a new unit to a participant</w:t>
      </w:r>
      <w:r w:rsidR="0040125A">
        <w:rPr>
          <w:rFonts w:ascii="Calibri" w:hAnsi="Calibri"/>
        </w:rPr>
        <w:t>.</w:t>
      </w:r>
    </w:p>
    <w:p w14:paraId="520AD8EB" w14:textId="77777777" w:rsidR="00AD6131" w:rsidRPr="00201118" w:rsidRDefault="00AD6131" w:rsidP="003D161D">
      <w:pPr>
        <w:ind w:left="720"/>
        <w:rPr>
          <w:rFonts w:ascii="Calibri" w:hAnsi="Calibri"/>
        </w:rPr>
      </w:pPr>
    </w:p>
    <w:p w14:paraId="17494122" w14:textId="77777777" w:rsidR="003D161D" w:rsidRDefault="0040125A" w:rsidP="003D161D">
      <w:pPr>
        <w:jc w:val="both"/>
        <w:rPr>
          <w:rFonts w:ascii="Calibri" w:hAnsi="Calibri"/>
        </w:rPr>
      </w:pPr>
      <w:r>
        <w:rPr>
          <w:rFonts w:ascii="Calibri" w:hAnsi="Calibri"/>
        </w:rPr>
        <w:t xml:space="preserve">Projects staff should keep informed regarding applicable moratoriums on evictions, filing, late fees, and utility shut-offs. </w:t>
      </w:r>
      <w:r w:rsidR="003D161D">
        <w:rPr>
          <w:rFonts w:ascii="Calibri" w:hAnsi="Calibri"/>
        </w:rPr>
        <w:t>Additional information regarding these protections is available here:</w:t>
      </w:r>
    </w:p>
    <w:p w14:paraId="6D02D760" w14:textId="77777777" w:rsidR="003D161D" w:rsidRDefault="003D161D" w:rsidP="003D161D">
      <w:pPr>
        <w:pStyle w:val="ListParagraph"/>
        <w:numPr>
          <w:ilvl w:val="0"/>
          <w:numId w:val="35"/>
        </w:numPr>
        <w:jc w:val="both"/>
        <w:rPr>
          <w:rFonts w:ascii="Calibri" w:hAnsi="Calibri"/>
        </w:rPr>
      </w:pPr>
      <w:r w:rsidRPr="003D161D">
        <w:rPr>
          <w:rFonts w:ascii="Calibri" w:hAnsi="Calibri"/>
        </w:rPr>
        <w:t xml:space="preserve">CT </w:t>
      </w:r>
      <w:hyperlink r:id="rId20" w:history="1">
        <w:r w:rsidRPr="003D161D">
          <w:rPr>
            <w:rStyle w:val="Hyperlink"/>
            <w:rFonts w:ascii="Calibri" w:hAnsi="Calibri"/>
          </w:rPr>
          <w:t>moratorium on utility shut-offs:</w:t>
        </w:r>
      </w:hyperlink>
    </w:p>
    <w:p w14:paraId="33DB7978" w14:textId="33EC4DF6" w:rsidR="00AD6131" w:rsidRPr="007D5ABB" w:rsidRDefault="003D161D" w:rsidP="00F82FF8">
      <w:pPr>
        <w:pStyle w:val="ListParagraph"/>
        <w:numPr>
          <w:ilvl w:val="0"/>
          <w:numId w:val="35"/>
        </w:numPr>
        <w:jc w:val="both"/>
        <w:rPr>
          <w:rFonts w:ascii="Calibri" w:hAnsi="Calibri"/>
        </w:rPr>
      </w:pPr>
      <w:r w:rsidRPr="003D161D">
        <w:rPr>
          <w:rFonts w:ascii="Calibri" w:hAnsi="Calibri"/>
        </w:rPr>
        <w:t xml:space="preserve">CCEH Webinar on </w:t>
      </w:r>
      <w:hyperlink r:id="rId21" w:history="1">
        <w:r w:rsidRPr="003D161D">
          <w:rPr>
            <w:rStyle w:val="Hyperlink"/>
            <w:rFonts w:ascii="Calibri" w:hAnsi="Calibri"/>
          </w:rPr>
          <w:t xml:space="preserve">Addressing Eviction and Discrimination Concerns </w:t>
        </w:r>
      </w:hyperlink>
      <w:r w:rsidRPr="003D161D">
        <w:rPr>
          <w:rFonts w:ascii="Calibri" w:hAnsi="Calibri"/>
        </w:rPr>
        <w:t>During the COVID-19 Crisis </w:t>
      </w:r>
    </w:p>
    <w:p w14:paraId="39894805" w14:textId="61108031" w:rsidR="008E4621" w:rsidRDefault="001D2000" w:rsidP="008E4621">
      <w:pPr>
        <w:jc w:val="both"/>
        <w:rPr>
          <w:rFonts w:asciiTheme="minorHAnsi" w:hAnsiTheme="minorHAnsi" w:cstheme="minorHAnsi"/>
          <w:color w:val="000000" w:themeColor="text1"/>
          <w:sz w:val="26"/>
          <w:szCs w:val="26"/>
        </w:rPr>
      </w:pPr>
      <w:r w:rsidRPr="00AD6131">
        <w:rPr>
          <w:rFonts w:asciiTheme="minorHAnsi" w:hAnsiTheme="minorHAnsi" w:cstheme="minorHAnsi"/>
          <w:color w:val="333333"/>
          <w:sz w:val="26"/>
          <w:szCs w:val="26"/>
          <w:shd w:val="clear" w:color="auto" w:fill="FFFFFF"/>
        </w:rPr>
        <w:t xml:space="preserve">Expenditures for utility and rental arrears would be made on the housing search and counseling line in the </w:t>
      </w:r>
      <w:r w:rsidR="008E4621" w:rsidRPr="00AD6131">
        <w:rPr>
          <w:rFonts w:asciiTheme="minorHAnsi" w:hAnsiTheme="minorHAnsi" w:cstheme="minorHAnsi"/>
          <w:color w:val="333333"/>
          <w:sz w:val="26"/>
          <w:szCs w:val="26"/>
          <w:shd w:val="clear" w:color="auto" w:fill="FFFFFF"/>
        </w:rPr>
        <w:t xml:space="preserve">CoC </w:t>
      </w:r>
      <w:r w:rsidRPr="00AD6131">
        <w:rPr>
          <w:rFonts w:asciiTheme="minorHAnsi" w:hAnsiTheme="minorHAnsi" w:cstheme="minorHAnsi"/>
          <w:color w:val="333333"/>
          <w:sz w:val="26"/>
          <w:szCs w:val="26"/>
          <w:shd w:val="clear" w:color="auto" w:fill="FFFFFF"/>
        </w:rPr>
        <w:t xml:space="preserve">Supportive Services Budget Line Item.  </w:t>
      </w:r>
      <w:r w:rsidR="008E4621" w:rsidRPr="00AD6131">
        <w:rPr>
          <w:rFonts w:asciiTheme="minorHAnsi" w:hAnsiTheme="minorHAnsi" w:cstheme="minorHAnsi"/>
          <w:color w:val="333333"/>
          <w:sz w:val="26"/>
          <w:szCs w:val="26"/>
          <w:shd w:val="clear" w:color="auto" w:fill="FFFFFF"/>
        </w:rPr>
        <w:t xml:space="preserve">Such expenditures would require the availability of funds on that Budget Line.  </w:t>
      </w:r>
      <w:r w:rsidRPr="00AD6131">
        <w:rPr>
          <w:rFonts w:asciiTheme="minorHAnsi" w:hAnsiTheme="minorHAnsi" w:cstheme="minorHAnsi"/>
          <w:color w:val="333333"/>
          <w:sz w:val="26"/>
          <w:szCs w:val="26"/>
          <w:shd w:val="clear" w:color="auto" w:fill="FFFFFF"/>
        </w:rPr>
        <w:t xml:space="preserve">Projects may need to make budget changes to enable such expenditures.  </w:t>
      </w:r>
      <w:r w:rsidR="008E4621" w:rsidRPr="00AD6131">
        <w:rPr>
          <w:rFonts w:asciiTheme="minorHAnsi" w:hAnsiTheme="minorHAnsi" w:cstheme="minorHAnsi"/>
          <w:color w:val="000000"/>
          <w:sz w:val="26"/>
          <w:szCs w:val="26"/>
        </w:rPr>
        <w:t xml:space="preserve">If you are a subrecipient of CoC funds (i.e., you do not have a grant agreement directly with HUD), please coordinate with the </w:t>
      </w:r>
      <w:r w:rsidR="008E4621" w:rsidRPr="00AD6131">
        <w:rPr>
          <w:rFonts w:asciiTheme="minorHAnsi" w:hAnsiTheme="minorHAnsi" w:cstheme="minorHAnsi"/>
          <w:color w:val="000000" w:themeColor="text1"/>
          <w:sz w:val="26"/>
          <w:szCs w:val="26"/>
        </w:rPr>
        <w:t>grant recipient</w:t>
      </w:r>
      <w:r w:rsidR="00BA5B41" w:rsidRPr="00AD6131">
        <w:rPr>
          <w:rFonts w:asciiTheme="minorHAnsi" w:hAnsiTheme="minorHAnsi" w:cstheme="minorHAnsi"/>
          <w:color w:val="000000" w:themeColor="text1"/>
          <w:sz w:val="26"/>
          <w:szCs w:val="26"/>
        </w:rPr>
        <w:t xml:space="preserve">, which is typically either DOH or DMHAS, </w:t>
      </w:r>
      <w:r w:rsidR="008E4621" w:rsidRPr="00AD6131">
        <w:rPr>
          <w:rFonts w:asciiTheme="minorHAnsi" w:hAnsiTheme="minorHAnsi" w:cstheme="minorHAnsi"/>
          <w:color w:val="000000" w:themeColor="text1"/>
          <w:sz w:val="26"/>
          <w:szCs w:val="26"/>
        </w:rPr>
        <w:t>prior to making any changes.</w:t>
      </w:r>
    </w:p>
    <w:p w14:paraId="5112B7EF" w14:textId="77777777" w:rsidR="00AD6131" w:rsidRPr="00AD6131" w:rsidRDefault="00AD6131" w:rsidP="008E4621">
      <w:pPr>
        <w:jc w:val="both"/>
        <w:rPr>
          <w:rFonts w:asciiTheme="minorHAnsi" w:hAnsiTheme="minorHAnsi" w:cstheme="minorHAnsi"/>
          <w:color w:val="000000" w:themeColor="text1"/>
          <w:sz w:val="26"/>
          <w:szCs w:val="26"/>
        </w:rPr>
      </w:pPr>
    </w:p>
    <w:p w14:paraId="426598A8" w14:textId="0FEC48B0" w:rsidR="008E4621" w:rsidRPr="00351036" w:rsidRDefault="001D2000" w:rsidP="008E4621">
      <w:pPr>
        <w:jc w:val="both"/>
        <w:rPr>
          <w:rFonts w:asciiTheme="minorHAnsi" w:hAnsiTheme="minorHAnsi" w:cstheme="minorHAnsi"/>
          <w:color w:val="000000" w:themeColor="text1"/>
          <w:shd w:val="clear" w:color="auto" w:fill="FFFFFF"/>
        </w:rPr>
      </w:pPr>
      <w:r w:rsidRPr="00351036">
        <w:rPr>
          <w:rFonts w:asciiTheme="minorHAnsi" w:hAnsiTheme="minorHAnsi" w:cstheme="minorHAnsi"/>
          <w:color w:val="000000" w:themeColor="text1"/>
          <w:shd w:val="clear" w:color="auto" w:fill="FFFFFF"/>
        </w:rPr>
        <w:t xml:space="preserve">Some projects may need to move funds </w:t>
      </w:r>
      <w:r w:rsidR="008E4621" w:rsidRPr="00351036">
        <w:rPr>
          <w:rFonts w:asciiTheme="minorHAnsi" w:hAnsiTheme="minorHAnsi" w:cstheme="minorHAnsi"/>
          <w:color w:val="000000" w:themeColor="text1"/>
          <w:shd w:val="clear" w:color="auto" w:fill="FFFFFF"/>
        </w:rPr>
        <w:t xml:space="preserve">to the Supportive Services Budget Line Item </w:t>
      </w:r>
      <w:r w:rsidRPr="00351036">
        <w:rPr>
          <w:rFonts w:asciiTheme="minorHAnsi" w:hAnsiTheme="minorHAnsi" w:cstheme="minorHAnsi"/>
          <w:color w:val="000000" w:themeColor="text1"/>
          <w:shd w:val="clear" w:color="auto" w:fill="FFFFFF"/>
        </w:rPr>
        <w:t>from another Budget Line Item (e.g., Rental Assistance)</w:t>
      </w:r>
      <w:r w:rsidR="00BA5B41" w:rsidRPr="00351036">
        <w:rPr>
          <w:rFonts w:asciiTheme="minorHAnsi" w:hAnsiTheme="minorHAnsi" w:cstheme="minorHAnsi"/>
          <w:color w:val="000000" w:themeColor="text1"/>
          <w:shd w:val="clear" w:color="auto" w:fill="FFFFFF"/>
        </w:rPr>
        <w:t>.  Below is information about what constitutes a significant and minor change and how to make each type of change.</w:t>
      </w:r>
    </w:p>
    <w:p w14:paraId="0DD28A4E" w14:textId="77777777" w:rsidR="00AD6131" w:rsidRPr="00351036" w:rsidRDefault="00AD6131" w:rsidP="008E4621">
      <w:pPr>
        <w:jc w:val="both"/>
        <w:rPr>
          <w:rFonts w:asciiTheme="minorHAnsi" w:hAnsiTheme="minorHAnsi" w:cstheme="minorHAnsi"/>
          <w:b/>
          <w:bCs/>
          <w:color w:val="000000" w:themeColor="text1"/>
          <w:shd w:val="clear" w:color="auto" w:fill="FFFFFF"/>
        </w:rPr>
      </w:pPr>
    </w:p>
    <w:p w14:paraId="28435E29" w14:textId="05CFBEAC" w:rsidR="008E4621" w:rsidRPr="00351036" w:rsidRDefault="008E4621" w:rsidP="008E4621">
      <w:pPr>
        <w:jc w:val="both"/>
        <w:rPr>
          <w:rFonts w:asciiTheme="minorHAnsi" w:hAnsiTheme="minorHAnsi" w:cstheme="minorHAnsi"/>
          <w:b/>
          <w:bCs/>
          <w:color w:val="000000" w:themeColor="text1"/>
          <w:shd w:val="clear" w:color="auto" w:fill="FFFFFF"/>
        </w:rPr>
      </w:pPr>
      <w:r w:rsidRPr="00351036">
        <w:rPr>
          <w:rFonts w:asciiTheme="minorHAnsi" w:hAnsiTheme="minorHAnsi" w:cstheme="minorHAnsi"/>
          <w:b/>
          <w:bCs/>
          <w:color w:val="000000" w:themeColor="text1"/>
          <w:shd w:val="clear" w:color="auto" w:fill="FFFFFF"/>
        </w:rPr>
        <w:t>Significant Changes:</w:t>
      </w:r>
    </w:p>
    <w:p w14:paraId="053D4C0B" w14:textId="620BE9E9" w:rsidR="008E4621" w:rsidRPr="00351036" w:rsidRDefault="00E15FAC" w:rsidP="008E4621">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shd w:val="clear" w:color="auto" w:fill="FFFFFF"/>
        </w:rPr>
        <w:t>A shift of</w:t>
      </w:r>
      <w:r w:rsidRPr="00351036">
        <w:rPr>
          <w:rStyle w:val="apple-converted-space"/>
          <w:rFonts w:asciiTheme="minorHAnsi" w:hAnsiTheme="minorHAnsi" w:cstheme="minorHAnsi"/>
          <w:color w:val="000000" w:themeColor="text1"/>
          <w:shd w:val="clear" w:color="auto" w:fill="FFFFFF"/>
        </w:rPr>
        <w:t> </w:t>
      </w:r>
      <w:r w:rsidRPr="00351036">
        <w:rPr>
          <w:rFonts w:asciiTheme="minorHAnsi" w:hAnsiTheme="minorHAnsi" w:cstheme="minorHAnsi"/>
          <w:color w:val="000000" w:themeColor="text1"/>
          <w:shd w:val="clear" w:color="auto" w:fill="FFFFFF"/>
        </w:rPr>
        <w:t>more than</w:t>
      </w:r>
      <w:r w:rsidRPr="00351036">
        <w:rPr>
          <w:rStyle w:val="apple-converted-space"/>
          <w:rFonts w:asciiTheme="minorHAnsi" w:hAnsiTheme="minorHAnsi" w:cstheme="minorHAnsi"/>
          <w:color w:val="000000" w:themeColor="text1"/>
          <w:shd w:val="clear" w:color="auto" w:fill="FFFFFF"/>
        </w:rPr>
        <w:t> </w:t>
      </w:r>
      <w:r w:rsidRPr="00351036">
        <w:rPr>
          <w:rFonts w:asciiTheme="minorHAnsi" w:hAnsiTheme="minorHAnsi" w:cstheme="minorHAnsi"/>
          <w:color w:val="000000" w:themeColor="text1"/>
          <w:shd w:val="clear" w:color="auto" w:fill="FFFFFF"/>
        </w:rPr>
        <w:t xml:space="preserve">10 percent from one approved </w:t>
      </w:r>
      <w:r w:rsidR="001D2000" w:rsidRPr="00351036">
        <w:rPr>
          <w:rFonts w:asciiTheme="minorHAnsi" w:hAnsiTheme="minorHAnsi" w:cstheme="minorHAnsi"/>
          <w:color w:val="000000" w:themeColor="text1"/>
          <w:shd w:val="clear" w:color="auto" w:fill="FFFFFF"/>
        </w:rPr>
        <w:t>Budget Line Item</w:t>
      </w:r>
      <w:r w:rsidRPr="00351036">
        <w:rPr>
          <w:rFonts w:asciiTheme="minorHAnsi" w:hAnsiTheme="minorHAnsi" w:cstheme="minorHAnsi"/>
          <w:color w:val="000000" w:themeColor="text1"/>
          <w:shd w:val="clear" w:color="auto" w:fill="FFFFFF"/>
        </w:rPr>
        <w:t xml:space="preserve"> to another </w:t>
      </w:r>
      <w:r w:rsidR="00BA5B41" w:rsidRPr="00351036">
        <w:rPr>
          <w:rFonts w:asciiTheme="minorHAnsi" w:hAnsiTheme="minorHAnsi" w:cstheme="minorHAnsi"/>
          <w:color w:val="000000" w:themeColor="text1"/>
          <w:shd w:val="clear" w:color="auto" w:fill="FFFFFF"/>
        </w:rPr>
        <w:t xml:space="preserve">(e.g., from Rental Assistance to Supportive Services) </w:t>
      </w:r>
      <w:r w:rsidRPr="00351036">
        <w:rPr>
          <w:rFonts w:asciiTheme="minorHAnsi" w:hAnsiTheme="minorHAnsi" w:cstheme="minorHAnsi"/>
          <w:color w:val="000000" w:themeColor="text1"/>
          <w:shd w:val="clear" w:color="auto" w:fill="FFFFFF"/>
        </w:rPr>
        <w:t>is considered a significant change and</w:t>
      </w:r>
      <w:r w:rsidR="00BA5B41" w:rsidRPr="00351036">
        <w:rPr>
          <w:rFonts w:asciiTheme="minorHAnsi" w:hAnsiTheme="minorHAnsi" w:cstheme="minorHAnsi"/>
          <w:color w:val="000000" w:themeColor="text1"/>
          <w:shd w:val="clear" w:color="auto" w:fill="FFFFFF"/>
        </w:rPr>
        <w:t xml:space="preserve"> </w:t>
      </w:r>
      <w:r w:rsidRPr="00351036">
        <w:rPr>
          <w:rFonts w:asciiTheme="minorHAnsi" w:hAnsiTheme="minorHAnsi" w:cstheme="minorHAnsi"/>
          <w:color w:val="000000" w:themeColor="text1"/>
          <w:shd w:val="clear" w:color="auto" w:fill="FFFFFF"/>
        </w:rPr>
        <w:t>requires a grant agreement amendment from HUD</w:t>
      </w:r>
      <w:r w:rsidR="009912D1">
        <w:rPr>
          <w:rFonts w:asciiTheme="minorHAnsi" w:hAnsiTheme="minorHAnsi" w:cstheme="minorHAnsi"/>
          <w:color w:val="000000" w:themeColor="text1"/>
        </w:rPr>
        <w:t xml:space="preserve"> – see below.</w:t>
      </w:r>
    </w:p>
    <w:p w14:paraId="60603F30" w14:textId="232183FE" w:rsidR="00BA5B41" w:rsidRPr="00351036" w:rsidRDefault="00BA5B41" w:rsidP="00BA5B41">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shd w:val="clear" w:color="auto" w:fill="FFFFFF"/>
        </w:rPr>
        <w:t>The addition of a new Budget Line Item (e.g., adding Supportive Service funds to a project that did not previously have such funds) is also considered a significant change and requires a grant agreement amendment from HUD</w:t>
      </w:r>
      <w:r w:rsidRPr="00351036">
        <w:rPr>
          <w:rFonts w:asciiTheme="minorHAnsi" w:hAnsiTheme="minorHAnsi" w:cstheme="minorHAnsi"/>
          <w:color w:val="000000" w:themeColor="text1"/>
        </w:rPr>
        <w:t xml:space="preserve">. </w:t>
      </w:r>
    </w:p>
    <w:p w14:paraId="491C8212" w14:textId="77777777" w:rsidR="007D5ABB" w:rsidRDefault="007D5ABB" w:rsidP="007D5ABB">
      <w:pPr>
        <w:ind w:left="360"/>
        <w:jc w:val="both"/>
        <w:rPr>
          <w:rFonts w:asciiTheme="minorHAnsi" w:hAnsiTheme="minorHAnsi" w:cstheme="minorHAnsi"/>
          <w:b/>
          <w:bCs/>
          <w:color w:val="000000" w:themeColor="text1"/>
        </w:rPr>
      </w:pPr>
    </w:p>
    <w:p w14:paraId="23D62879" w14:textId="52740CD1" w:rsidR="008E4621" w:rsidRPr="007D5ABB" w:rsidRDefault="008E4621" w:rsidP="007D5ABB">
      <w:pPr>
        <w:jc w:val="both"/>
        <w:rPr>
          <w:rFonts w:asciiTheme="minorHAnsi" w:hAnsiTheme="minorHAnsi" w:cstheme="minorHAnsi"/>
          <w:b/>
          <w:bCs/>
          <w:color w:val="000000" w:themeColor="text1"/>
        </w:rPr>
      </w:pPr>
      <w:r w:rsidRPr="007D5ABB">
        <w:rPr>
          <w:rFonts w:asciiTheme="minorHAnsi" w:hAnsiTheme="minorHAnsi" w:cstheme="minorHAnsi"/>
          <w:b/>
          <w:bCs/>
          <w:color w:val="000000" w:themeColor="text1"/>
        </w:rPr>
        <w:t>Minor Changes:</w:t>
      </w:r>
    </w:p>
    <w:p w14:paraId="68633146" w14:textId="77777777" w:rsidR="008E4621" w:rsidRPr="00351036" w:rsidRDefault="00E15FAC" w:rsidP="008E4621">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rPr>
        <w:t>A shift of less than 10 percent of CoC Program funds</w:t>
      </w:r>
      <w:r w:rsidRPr="00351036">
        <w:rPr>
          <w:rStyle w:val="apple-converted-space"/>
          <w:rFonts w:asciiTheme="minorHAnsi" w:hAnsiTheme="minorHAnsi" w:cstheme="minorHAnsi"/>
          <w:color w:val="000000" w:themeColor="text1"/>
        </w:rPr>
        <w:t> </w:t>
      </w:r>
      <w:r w:rsidRPr="00351036">
        <w:rPr>
          <w:rFonts w:asciiTheme="minorHAnsi" w:hAnsiTheme="minorHAnsi" w:cstheme="minorHAnsi"/>
          <w:color w:val="000000" w:themeColor="text1"/>
        </w:rPr>
        <w:t xml:space="preserve">from one </w:t>
      </w:r>
      <w:r w:rsidR="001D2000" w:rsidRPr="00351036">
        <w:rPr>
          <w:rFonts w:asciiTheme="minorHAnsi" w:hAnsiTheme="minorHAnsi" w:cstheme="minorHAnsi"/>
          <w:color w:val="000000" w:themeColor="text1"/>
        </w:rPr>
        <w:t>Budget Line Item</w:t>
      </w:r>
      <w:r w:rsidRPr="00351036">
        <w:rPr>
          <w:rFonts w:asciiTheme="minorHAnsi" w:hAnsiTheme="minorHAnsi" w:cstheme="minorHAnsi"/>
          <w:color w:val="000000" w:themeColor="text1"/>
        </w:rPr>
        <w:t xml:space="preserve"> to another</w:t>
      </w:r>
      <w:r w:rsidR="008E4621" w:rsidRPr="00351036">
        <w:rPr>
          <w:rFonts w:asciiTheme="minorHAnsi" w:hAnsiTheme="minorHAnsi" w:cstheme="minorHAnsi"/>
          <w:color w:val="000000" w:themeColor="text1"/>
        </w:rPr>
        <w:t xml:space="preserve"> is considered a minor change and</w:t>
      </w:r>
      <w:r w:rsidRPr="00351036">
        <w:rPr>
          <w:rFonts w:asciiTheme="minorHAnsi" w:hAnsiTheme="minorHAnsi" w:cstheme="minorHAnsi"/>
          <w:color w:val="000000" w:themeColor="text1"/>
        </w:rPr>
        <w:t xml:space="preserve"> does not require HUD approval. </w:t>
      </w:r>
    </w:p>
    <w:p w14:paraId="2F7DB832" w14:textId="74985432" w:rsidR="008E4621" w:rsidRPr="00351036" w:rsidRDefault="00E15FAC" w:rsidP="008E4621">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rPr>
        <w:t xml:space="preserve">However, </w:t>
      </w:r>
      <w:r w:rsidR="00594B56" w:rsidRPr="00351036">
        <w:rPr>
          <w:rFonts w:asciiTheme="minorHAnsi" w:hAnsiTheme="minorHAnsi" w:cstheme="minorHAnsi"/>
          <w:color w:val="000000" w:themeColor="text1"/>
        </w:rPr>
        <w:t>the grant recipient</w:t>
      </w:r>
      <w:r w:rsidRPr="00351036">
        <w:rPr>
          <w:rFonts w:asciiTheme="minorHAnsi" w:hAnsiTheme="minorHAnsi" w:cstheme="minorHAnsi"/>
          <w:color w:val="000000" w:themeColor="text1"/>
        </w:rPr>
        <w:t xml:space="preserve"> must notify the field office of </w:t>
      </w:r>
      <w:r w:rsidR="008E4621" w:rsidRPr="00351036">
        <w:rPr>
          <w:rFonts w:asciiTheme="minorHAnsi" w:hAnsiTheme="minorHAnsi" w:cstheme="minorHAnsi"/>
          <w:color w:val="000000" w:themeColor="text1"/>
        </w:rPr>
        <w:t>minor</w:t>
      </w:r>
      <w:r w:rsidRPr="00351036">
        <w:rPr>
          <w:rFonts w:asciiTheme="minorHAnsi" w:hAnsiTheme="minorHAnsi" w:cstheme="minorHAnsi"/>
          <w:color w:val="000000" w:themeColor="text1"/>
        </w:rPr>
        <w:t xml:space="preserve"> changes in order to update the budget in LOCCS. </w:t>
      </w:r>
    </w:p>
    <w:p w14:paraId="595EE46A" w14:textId="77777777" w:rsidR="008E4621" w:rsidRPr="00351036" w:rsidRDefault="00E15FAC" w:rsidP="008E4621">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rPr>
        <w:t xml:space="preserve">Recipients and subrecipients must </w:t>
      </w:r>
      <w:r w:rsidR="008E4621" w:rsidRPr="00351036">
        <w:rPr>
          <w:rFonts w:asciiTheme="minorHAnsi" w:hAnsiTheme="minorHAnsi" w:cstheme="minorHAnsi"/>
          <w:color w:val="000000" w:themeColor="text1"/>
        </w:rPr>
        <w:t xml:space="preserve">also </w:t>
      </w:r>
      <w:r w:rsidRPr="00351036">
        <w:rPr>
          <w:rFonts w:asciiTheme="minorHAnsi" w:hAnsiTheme="minorHAnsi" w:cstheme="minorHAnsi"/>
          <w:color w:val="000000" w:themeColor="text1"/>
        </w:rPr>
        <w:t xml:space="preserve">fully document minor changes to an approved grant in their </w:t>
      </w:r>
      <w:r w:rsidR="008E4621" w:rsidRPr="00351036">
        <w:rPr>
          <w:rFonts w:asciiTheme="minorHAnsi" w:hAnsiTheme="minorHAnsi" w:cstheme="minorHAnsi"/>
          <w:color w:val="000000" w:themeColor="text1"/>
        </w:rPr>
        <w:t xml:space="preserve">project </w:t>
      </w:r>
      <w:r w:rsidRPr="00351036">
        <w:rPr>
          <w:rFonts w:asciiTheme="minorHAnsi" w:hAnsiTheme="minorHAnsi" w:cstheme="minorHAnsi"/>
          <w:color w:val="000000" w:themeColor="text1"/>
        </w:rPr>
        <w:t xml:space="preserve">records. </w:t>
      </w:r>
      <w:r w:rsidR="008E4621" w:rsidRPr="00351036">
        <w:rPr>
          <w:rFonts w:asciiTheme="minorHAnsi" w:hAnsiTheme="minorHAnsi" w:cstheme="minorHAnsi"/>
          <w:color w:val="000000" w:themeColor="text1"/>
          <w:shd w:val="clear" w:color="auto" w:fill="FFFFFF"/>
        </w:rPr>
        <w:t xml:space="preserve"> </w:t>
      </w:r>
    </w:p>
    <w:p w14:paraId="45C423A3" w14:textId="65B6D12A" w:rsidR="003D161D" w:rsidRPr="00351036" w:rsidRDefault="008E4621" w:rsidP="003D161D">
      <w:pPr>
        <w:pStyle w:val="ListParagraph"/>
        <w:numPr>
          <w:ilvl w:val="0"/>
          <w:numId w:val="28"/>
        </w:numPr>
        <w:jc w:val="both"/>
        <w:rPr>
          <w:rFonts w:asciiTheme="minorHAnsi" w:hAnsiTheme="minorHAnsi" w:cstheme="minorHAnsi"/>
          <w:color w:val="000000" w:themeColor="text1"/>
        </w:rPr>
      </w:pPr>
      <w:r w:rsidRPr="00351036">
        <w:rPr>
          <w:rFonts w:asciiTheme="minorHAnsi" w:hAnsiTheme="minorHAnsi" w:cstheme="minorHAnsi"/>
          <w:color w:val="000000" w:themeColor="text1"/>
          <w:shd w:val="clear" w:color="auto" w:fill="FFFFFF"/>
        </w:rPr>
        <w:t xml:space="preserve">If your </w:t>
      </w:r>
      <w:r w:rsidR="001D2000" w:rsidRPr="00351036">
        <w:rPr>
          <w:rFonts w:asciiTheme="minorHAnsi" w:hAnsiTheme="minorHAnsi" w:cstheme="minorHAnsi"/>
          <w:color w:val="000000" w:themeColor="text1"/>
          <w:shd w:val="clear" w:color="auto" w:fill="FFFFFF"/>
        </w:rPr>
        <w:t xml:space="preserve">project </w:t>
      </w:r>
      <w:r w:rsidRPr="00351036">
        <w:rPr>
          <w:rFonts w:asciiTheme="minorHAnsi" w:hAnsiTheme="minorHAnsi" w:cstheme="minorHAnsi"/>
          <w:color w:val="000000" w:themeColor="text1"/>
          <w:shd w:val="clear" w:color="auto" w:fill="FFFFFF"/>
        </w:rPr>
        <w:t>has</w:t>
      </w:r>
      <w:r w:rsidR="001D2000" w:rsidRPr="00351036">
        <w:rPr>
          <w:rFonts w:asciiTheme="minorHAnsi" w:hAnsiTheme="minorHAnsi" w:cstheme="minorHAnsi"/>
          <w:color w:val="000000" w:themeColor="text1"/>
          <w:shd w:val="clear" w:color="auto" w:fill="FFFFFF"/>
        </w:rPr>
        <w:t xml:space="preserve"> sufficient funds available on the Supportive Services Budget Line Item,</w:t>
      </w:r>
      <w:r w:rsidR="007D5ABB">
        <w:rPr>
          <w:rFonts w:asciiTheme="minorHAnsi" w:hAnsiTheme="minorHAnsi" w:cstheme="minorHAnsi"/>
          <w:color w:val="000000" w:themeColor="text1"/>
          <w:shd w:val="clear" w:color="auto" w:fill="FFFFFF"/>
        </w:rPr>
        <w:t xml:space="preserve"> </w:t>
      </w:r>
      <w:r w:rsidR="001D2000" w:rsidRPr="00351036">
        <w:rPr>
          <w:rFonts w:asciiTheme="minorHAnsi" w:hAnsiTheme="minorHAnsi" w:cstheme="minorHAnsi"/>
          <w:color w:val="000000" w:themeColor="text1"/>
          <w:shd w:val="clear" w:color="auto" w:fill="FFFFFF"/>
        </w:rPr>
        <w:t xml:space="preserve">but did not include </w:t>
      </w:r>
      <w:r w:rsidRPr="00351036">
        <w:rPr>
          <w:rFonts w:asciiTheme="minorHAnsi" w:hAnsiTheme="minorHAnsi" w:cstheme="minorHAnsi"/>
          <w:color w:val="000000" w:themeColor="text1"/>
          <w:shd w:val="clear" w:color="auto" w:fill="FFFFFF"/>
        </w:rPr>
        <w:t xml:space="preserve">housing search and counseling funds </w:t>
      </w:r>
      <w:r w:rsidR="001D2000" w:rsidRPr="00351036">
        <w:rPr>
          <w:rFonts w:asciiTheme="minorHAnsi" w:hAnsiTheme="minorHAnsi" w:cstheme="minorHAnsi"/>
          <w:color w:val="000000" w:themeColor="text1"/>
          <w:shd w:val="clear" w:color="auto" w:fill="FFFFFF"/>
        </w:rPr>
        <w:t>in the relevant project application</w:t>
      </w:r>
      <w:r w:rsidRPr="00351036">
        <w:rPr>
          <w:rFonts w:asciiTheme="minorHAnsi" w:hAnsiTheme="minorHAnsi" w:cstheme="minorHAnsi"/>
          <w:color w:val="000000" w:themeColor="text1"/>
          <w:shd w:val="clear" w:color="auto" w:fill="FFFFFF"/>
        </w:rPr>
        <w:t xml:space="preserve">, this would </w:t>
      </w:r>
      <w:r w:rsidR="00594B56" w:rsidRPr="00351036">
        <w:rPr>
          <w:rFonts w:asciiTheme="minorHAnsi" w:hAnsiTheme="minorHAnsi" w:cstheme="minorHAnsi"/>
          <w:color w:val="000000" w:themeColor="text1"/>
          <w:shd w:val="clear" w:color="auto" w:fill="FFFFFF"/>
        </w:rPr>
        <w:t xml:space="preserve">also </w:t>
      </w:r>
      <w:r w:rsidRPr="00351036">
        <w:rPr>
          <w:rFonts w:asciiTheme="minorHAnsi" w:hAnsiTheme="minorHAnsi" w:cstheme="minorHAnsi"/>
          <w:color w:val="000000" w:themeColor="text1"/>
          <w:shd w:val="clear" w:color="auto" w:fill="FFFFFF"/>
        </w:rPr>
        <w:t>be a minor change and you should follow the procedures outlined above.</w:t>
      </w:r>
    </w:p>
    <w:p w14:paraId="0F260163" w14:textId="35F9BF31" w:rsidR="003D161D" w:rsidRPr="00351036" w:rsidRDefault="003D161D" w:rsidP="003D161D">
      <w:pPr>
        <w:jc w:val="both"/>
        <w:rPr>
          <w:rFonts w:asciiTheme="minorHAnsi" w:hAnsiTheme="minorHAnsi" w:cstheme="minorHAnsi"/>
          <w:color w:val="000000" w:themeColor="text1"/>
        </w:rPr>
      </w:pPr>
    </w:p>
    <w:p w14:paraId="2DC19A56" w14:textId="70F12035" w:rsidR="003D161D" w:rsidRPr="00351036" w:rsidRDefault="003D161D" w:rsidP="003D161D">
      <w:pPr>
        <w:spacing w:after="150"/>
        <w:jc w:val="both"/>
        <w:rPr>
          <w:rFonts w:ascii="Calibri" w:hAnsi="Calibri" w:cs="Calibri"/>
          <w:color w:val="000000" w:themeColor="text1"/>
        </w:rPr>
      </w:pPr>
      <w:r w:rsidRPr="00351036">
        <w:rPr>
          <w:rFonts w:ascii="Calibri" w:hAnsi="Calibri" w:cs="Calibri"/>
          <w:color w:val="000000" w:themeColor="text1"/>
        </w:rPr>
        <w:t>In response to the COVID-19 pandemic, HUD’s Office of Special Needs Assistance Programs (SNAPS) has developed an expedited process for amending CoC Program recipient grant agreements. Recipients who need grant agreement amendments to provide housing, services, or other necessities to support eligible clients can submit an amendment request using the process outlined on this page:</w:t>
      </w:r>
    </w:p>
    <w:p w14:paraId="774AB021" w14:textId="77777777" w:rsidR="003D161D" w:rsidRPr="00351036" w:rsidRDefault="00C8650B" w:rsidP="003D161D">
      <w:pPr>
        <w:spacing w:after="150"/>
        <w:jc w:val="both"/>
        <w:rPr>
          <w:rFonts w:ascii="Calibri" w:hAnsi="Calibri" w:cs="Calibri"/>
          <w:color w:val="FF0000"/>
        </w:rPr>
      </w:pPr>
      <w:hyperlink r:id="rId22" w:history="1">
        <w:r w:rsidR="003D161D" w:rsidRPr="00351036">
          <w:rPr>
            <w:rStyle w:val="Hyperlink"/>
            <w:rFonts w:ascii="Calibri" w:hAnsi="Calibri" w:cs="Calibri"/>
          </w:rPr>
          <w:t>https://www.hudexchange.info/programs/coc/covid-19-grant-agreement-amendments/</w:t>
        </w:r>
      </w:hyperlink>
    </w:p>
    <w:p w14:paraId="0753C87E" w14:textId="77777777" w:rsidR="003D161D" w:rsidRPr="00351036" w:rsidRDefault="003D161D" w:rsidP="003D161D">
      <w:pPr>
        <w:spacing w:after="150"/>
        <w:jc w:val="both"/>
        <w:rPr>
          <w:rFonts w:ascii="Calibri" w:hAnsi="Calibri" w:cs="Calibri"/>
          <w:color w:val="000000" w:themeColor="text1"/>
        </w:rPr>
      </w:pPr>
      <w:r w:rsidRPr="00351036">
        <w:rPr>
          <w:rFonts w:ascii="Calibri" w:hAnsi="Calibri" w:cs="Calibri"/>
          <w:color w:val="000000" w:themeColor="text1"/>
        </w:rPr>
        <w:t>Recipients must include documentation in their project files that supports the request for the grant agreement amendment. Recipients may extend their project’s operating year to fully utilize awarded funds.  The latest end date allowed for 2018 grants is 12/31/20. This permanently changes the grant’s operating start date. Budget amendments in the first year of a CoC award are also allowed.</w:t>
      </w:r>
    </w:p>
    <w:p w14:paraId="00DD20CD" w14:textId="434B2315" w:rsidR="00201118" w:rsidRPr="00AD6131" w:rsidRDefault="00201118" w:rsidP="00F82FF8">
      <w:pPr>
        <w:jc w:val="both"/>
        <w:rPr>
          <w:rFonts w:asciiTheme="minorHAnsi" w:hAnsiTheme="minorHAnsi" w:cstheme="minorHAnsi"/>
        </w:rPr>
      </w:pPr>
    </w:p>
    <w:p w14:paraId="46D62350" w14:textId="43AF1CB5" w:rsidR="00F82FF8" w:rsidRPr="007D5ABB" w:rsidRDefault="00547635" w:rsidP="007D5ABB">
      <w:pPr>
        <w:jc w:val="both"/>
        <w:rPr>
          <w:rFonts w:asciiTheme="minorHAnsi" w:hAnsiTheme="minorHAnsi" w:cstheme="minorHAnsi"/>
        </w:rPr>
      </w:pPr>
      <w:r w:rsidRPr="00AD6131">
        <w:rPr>
          <w:rFonts w:asciiTheme="minorHAnsi" w:hAnsiTheme="minorHAnsi" w:cstheme="minorHAnsi"/>
        </w:rPr>
        <w:t>See Attachment 1 for an overview of the available waivers for CoC and ESG projects and the duration of each waiver</w:t>
      </w:r>
      <w:r w:rsidR="00F82FF8" w:rsidRPr="00AD6131">
        <w:rPr>
          <w:rFonts w:asciiTheme="minorHAnsi" w:hAnsiTheme="minorHAnsi" w:cstheme="minorHAnsi"/>
        </w:rPr>
        <w:t>.</w:t>
      </w:r>
      <w:r w:rsidR="00F82FF8" w:rsidRPr="00AD6131">
        <w:rPr>
          <w:rFonts w:asciiTheme="minorHAnsi" w:hAnsiTheme="minorHAnsi" w:cstheme="minorHAnsi"/>
        </w:rPr>
        <w:br w:type="page"/>
      </w:r>
    </w:p>
    <w:p w14:paraId="3A23D0B9" w14:textId="77777777" w:rsidR="00547635" w:rsidRPr="00201118" w:rsidRDefault="00547635" w:rsidP="00F82FF8">
      <w:pPr>
        <w:jc w:val="both"/>
        <w:rPr>
          <w:rFonts w:ascii="Calibri" w:hAnsi="Calibri"/>
        </w:rPr>
      </w:pPr>
    </w:p>
    <w:tbl>
      <w:tblPr>
        <w:tblStyle w:val="TableGrid"/>
        <w:tblW w:w="0" w:type="auto"/>
        <w:tblLook w:val="04A0" w:firstRow="1" w:lastRow="0" w:firstColumn="1" w:lastColumn="0" w:noHBand="0" w:noVBand="1"/>
      </w:tblPr>
      <w:tblGrid>
        <w:gridCol w:w="2217"/>
        <w:gridCol w:w="4742"/>
        <w:gridCol w:w="2391"/>
      </w:tblGrid>
      <w:tr w:rsidR="00547635" w:rsidRPr="00823236" w14:paraId="2B816056" w14:textId="77777777" w:rsidTr="00F4000F">
        <w:tc>
          <w:tcPr>
            <w:tcW w:w="9350" w:type="dxa"/>
            <w:gridSpan w:val="3"/>
          </w:tcPr>
          <w:p w14:paraId="4E22E393" w14:textId="330F24EE" w:rsidR="00547635" w:rsidRDefault="00547635" w:rsidP="00F4000F">
            <w:pPr>
              <w:jc w:val="center"/>
              <w:rPr>
                <w:b/>
                <w:bCs/>
              </w:rPr>
            </w:pPr>
            <w:r>
              <w:rPr>
                <w:b/>
                <w:bCs/>
              </w:rPr>
              <w:t>Attachment 1</w:t>
            </w:r>
          </w:p>
        </w:tc>
      </w:tr>
      <w:tr w:rsidR="008F1C7E" w:rsidRPr="00823236" w14:paraId="534D97FC" w14:textId="77777777" w:rsidTr="00F4000F">
        <w:tc>
          <w:tcPr>
            <w:tcW w:w="9350" w:type="dxa"/>
            <w:gridSpan w:val="3"/>
          </w:tcPr>
          <w:p w14:paraId="750170B4" w14:textId="09A6E4D6" w:rsidR="008F1C7E" w:rsidRPr="00823236" w:rsidRDefault="008F1C7E" w:rsidP="00F4000F">
            <w:pPr>
              <w:jc w:val="center"/>
              <w:rPr>
                <w:b/>
                <w:bCs/>
              </w:rPr>
            </w:pPr>
            <w:r>
              <w:rPr>
                <w:b/>
                <w:bCs/>
              </w:rPr>
              <w:t xml:space="preserve">CoC </w:t>
            </w:r>
            <w:r w:rsidR="003474A7">
              <w:rPr>
                <w:b/>
                <w:bCs/>
              </w:rPr>
              <w:t xml:space="preserve">and ESG </w:t>
            </w:r>
            <w:r>
              <w:rPr>
                <w:b/>
                <w:bCs/>
              </w:rPr>
              <w:t>Program Waivers for Covid-19</w:t>
            </w:r>
          </w:p>
        </w:tc>
      </w:tr>
      <w:tr w:rsidR="008F1C7E" w:rsidRPr="00CC391F" w14:paraId="0322B689" w14:textId="77777777" w:rsidTr="00547635">
        <w:tc>
          <w:tcPr>
            <w:tcW w:w="2065" w:type="dxa"/>
            <w:shd w:val="clear" w:color="auto" w:fill="D9D9D9" w:themeFill="background1" w:themeFillShade="D9"/>
          </w:tcPr>
          <w:p w14:paraId="62CC935C" w14:textId="709D7C79" w:rsidR="008F1C7E" w:rsidRPr="00CC391F" w:rsidRDefault="008F1C7E" w:rsidP="00F4000F">
            <w:pPr>
              <w:rPr>
                <w:b/>
                <w:bCs/>
              </w:rPr>
            </w:pPr>
            <w:r w:rsidRPr="00CC391F">
              <w:rPr>
                <w:b/>
                <w:bCs/>
              </w:rPr>
              <w:t>Program Component</w:t>
            </w:r>
            <w:r w:rsidR="003474A7">
              <w:rPr>
                <w:b/>
                <w:bCs/>
              </w:rPr>
              <w:t xml:space="preserve">/Budget Line Item </w:t>
            </w:r>
            <w:r w:rsidRPr="00CC391F">
              <w:rPr>
                <w:b/>
                <w:bCs/>
              </w:rPr>
              <w:t>Affected</w:t>
            </w:r>
          </w:p>
        </w:tc>
        <w:tc>
          <w:tcPr>
            <w:tcW w:w="4860" w:type="dxa"/>
            <w:shd w:val="clear" w:color="auto" w:fill="D9D9D9" w:themeFill="background1" w:themeFillShade="D9"/>
          </w:tcPr>
          <w:p w14:paraId="5D3E1114" w14:textId="77777777" w:rsidR="008F1C7E" w:rsidRPr="00CC391F" w:rsidRDefault="008F1C7E" w:rsidP="00F4000F">
            <w:pPr>
              <w:rPr>
                <w:b/>
                <w:bCs/>
              </w:rPr>
            </w:pPr>
            <w:r w:rsidRPr="00CC391F">
              <w:rPr>
                <w:b/>
                <w:bCs/>
              </w:rPr>
              <w:t>Waived Requirement</w:t>
            </w:r>
          </w:p>
        </w:tc>
        <w:tc>
          <w:tcPr>
            <w:tcW w:w="2425" w:type="dxa"/>
            <w:shd w:val="clear" w:color="auto" w:fill="D9D9D9" w:themeFill="background1" w:themeFillShade="D9"/>
          </w:tcPr>
          <w:p w14:paraId="3122123F" w14:textId="77777777" w:rsidR="008F1C7E" w:rsidRPr="00CC391F" w:rsidRDefault="008F1C7E" w:rsidP="00F4000F">
            <w:pPr>
              <w:rPr>
                <w:b/>
                <w:bCs/>
              </w:rPr>
            </w:pPr>
            <w:r w:rsidRPr="00CC391F">
              <w:rPr>
                <w:b/>
                <w:bCs/>
              </w:rPr>
              <w:t>Duration of Waiver</w:t>
            </w:r>
          </w:p>
        </w:tc>
      </w:tr>
      <w:tr w:rsidR="00FB6201" w14:paraId="07F1AC11" w14:textId="77777777" w:rsidTr="00547635">
        <w:tc>
          <w:tcPr>
            <w:tcW w:w="2065" w:type="dxa"/>
          </w:tcPr>
          <w:p w14:paraId="62976E5C" w14:textId="18DF42F5" w:rsidR="00FB6201" w:rsidRPr="009C4159" w:rsidRDefault="00FB6201" w:rsidP="00F4000F">
            <w:pPr>
              <w:rPr>
                <w:b/>
                <w:bCs/>
                <w:color w:val="FF0000"/>
              </w:rPr>
            </w:pPr>
            <w:r w:rsidRPr="009C4159">
              <w:rPr>
                <w:b/>
                <w:bCs/>
                <w:color w:val="FF0000"/>
              </w:rPr>
              <w:t>CoC RRH Rental Assistance</w:t>
            </w:r>
          </w:p>
        </w:tc>
        <w:tc>
          <w:tcPr>
            <w:tcW w:w="4860" w:type="dxa"/>
          </w:tcPr>
          <w:p w14:paraId="5419FEF4" w14:textId="07086C81" w:rsidR="00FB6201" w:rsidRPr="009C4159" w:rsidRDefault="00FB6201" w:rsidP="00FB6201">
            <w:pPr>
              <w:rPr>
                <w:color w:val="FF0000"/>
              </w:rPr>
            </w:pPr>
            <w:r w:rsidRPr="009C4159">
              <w:rPr>
                <w:b/>
                <w:bCs/>
                <w:i/>
                <w:iCs/>
                <w:color w:val="FF0000"/>
              </w:rPr>
              <w:t xml:space="preserve">24-month Rental Assistance restriction.  </w:t>
            </w:r>
            <w:r w:rsidRPr="009C4159">
              <w:rPr>
                <w:rFonts w:ascii="Times" w:hAnsi="Times" w:cs="Calibri"/>
                <w:color w:val="FF0000"/>
              </w:rPr>
              <w:t>Program participants who have reached 24 months of rental assistance and who will not be able to afford their rent without additional rental assistance will be eligible to receive rental assistance until 3 months after a state or local public health official has determined that special measures to prevent the spread of COVID-19 are no longer necessary.</w:t>
            </w:r>
          </w:p>
          <w:p w14:paraId="6671A3D3" w14:textId="0456CBFB" w:rsidR="00FB6201" w:rsidRPr="009C4159" w:rsidRDefault="00FB6201" w:rsidP="00F4000F">
            <w:pPr>
              <w:rPr>
                <w:b/>
                <w:bCs/>
                <w:i/>
                <w:iCs/>
                <w:color w:val="FF0000"/>
              </w:rPr>
            </w:pPr>
          </w:p>
        </w:tc>
        <w:tc>
          <w:tcPr>
            <w:tcW w:w="2425" w:type="dxa"/>
            <w:vAlign w:val="center"/>
          </w:tcPr>
          <w:p w14:paraId="30A6BEC7" w14:textId="6BB65690" w:rsidR="00FB6201" w:rsidRPr="009C4159" w:rsidRDefault="00FB6201" w:rsidP="00547635">
            <w:pPr>
              <w:jc w:val="center"/>
              <w:rPr>
                <w:color w:val="FF0000"/>
              </w:rPr>
            </w:pPr>
            <w:r w:rsidRPr="009C4159">
              <w:rPr>
                <w:color w:val="FF0000"/>
              </w:rPr>
              <w:t>Effective until 3 months after local/state determination</w:t>
            </w:r>
          </w:p>
        </w:tc>
      </w:tr>
      <w:tr w:rsidR="00FB6201" w14:paraId="7C53B41B" w14:textId="77777777" w:rsidTr="00547635">
        <w:tc>
          <w:tcPr>
            <w:tcW w:w="2065" w:type="dxa"/>
          </w:tcPr>
          <w:p w14:paraId="44ACB1E7" w14:textId="314BF87E" w:rsidR="00FB6201" w:rsidRPr="009C4159" w:rsidRDefault="00FB6201" w:rsidP="00F4000F">
            <w:pPr>
              <w:rPr>
                <w:b/>
                <w:bCs/>
                <w:color w:val="FF0000"/>
              </w:rPr>
            </w:pPr>
            <w:r w:rsidRPr="009C4159">
              <w:rPr>
                <w:b/>
                <w:bCs/>
                <w:color w:val="FF0000"/>
              </w:rPr>
              <w:t>All CoC Projects</w:t>
            </w:r>
          </w:p>
        </w:tc>
        <w:tc>
          <w:tcPr>
            <w:tcW w:w="4860" w:type="dxa"/>
          </w:tcPr>
          <w:p w14:paraId="79771745" w14:textId="77777777" w:rsidR="00FB6201" w:rsidRPr="009C4159" w:rsidRDefault="00FB6201" w:rsidP="00FB6201">
            <w:pPr>
              <w:rPr>
                <w:rFonts w:ascii="Times" w:hAnsi="Times" w:cs="Calibri"/>
                <w:b/>
                <w:bCs/>
                <w:color w:val="FF0000"/>
              </w:rPr>
            </w:pPr>
            <w:r w:rsidRPr="009C4159">
              <w:rPr>
                <w:rFonts w:ascii="Times" w:hAnsi="Times" w:cs="Calibri"/>
                <w:b/>
                <w:bCs/>
                <w:color w:val="FF0000"/>
              </w:rPr>
              <w:t>Grant Amendments</w:t>
            </w:r>
          </w:p>
          <w:p w14:paraId="77F3CE11" w14:textId="43A4642D" w:rsidR="00FB6201" w:rsidRPr="009C4159" w:rsidRDefault="00FB6201" w:rsidP="00FB6201">
            <w:pPr>
              <w:rPr>
                <w:rFonts w:ascii="Times" w:hAnsi="Times"/>
                <w:color w:val="FF0000"/>
              </w:rPr>
            </w:pPr>
            <w:r w:rsidRPr="009C4159">
              <w:rPr>
                <w:rFonts w:ascii="Times" w:hAnsi="Times" w:cs="Calibri"/>
                <w:color w:val="FF0000"/>
              </w:rPr>
              <w:t>All CoC projects that amend their grant agreement in response to COVID-19 between  March 31, 2020 and October 1, 2020 to move funds between budget line items may</w:t>
            </w:r>
            <w:r w:rsidRPr="009C4159">
              <w:rPr>
                <w:rStyle w:val="apple-converted-space"/>
                <w:rFonts w:ascii="Times" w:hAnsi="Times" w:cs="Calibri"/>
                <w:color w:val="FF0000"/>
              </w:rPr>
              <w:t> </w:t>
            </w:r>
            <w:r w:rsidRPr="009C4159">
              <w:rPr>
                <w:rFonts w:ascii="Times" w:hAnsi="Times" w:cs="Calibri"/>
                <w:color w:val="FF0000"/>
              </w:rPr>
              <w:t>apply in the next CoC Competition based on the Budget Line Items before they were amended.</w:t>
            </w:r>
            <w:r w:rsidRPr="009C4159">
              <w:rPr>
                <w:rStyle w:val="apple-converted-space"/>
                <w:rFonts w:ascii="Times" w:hAnsi="Times" w:cs="Calibri"/>
                <w:color w:val="FF0000"/>
              </w:rPr>
              <w:t> </w:t>
            </w:r>
          </w:p>
          <w:p w14:paraId="3031B7CC" w14:textId="77777777" w:rsidR="00FB6201" w:rsidRPr="009C4159" w:rsidRDefault="00FB6201" w:rsidP="00F4000F">
            <w:pPr>
              <w:rPr>
                <w:b/>
                <w:bCs/>
                <w:i/>
                <w:iCs/>
                <w:color w:val="FF0000"/>
              </w:rPr>
            </w:pPr>
          </w:p>
        </w:tc>
        <w:tc>
          <w:tcPr>
            <w:tcW w:w="2425" w:type="dxa"/>
            <w:vAlign w:val="center"/>
          </w:tcPr>
          <w:p w14:paraId="7E64CE85" w14:textId="56A360BD" w:rsidR="00FB6201" w:rsidRPr="009C4159" w:rsidRDefault="00FB6201" w:rsidP="00547635">
            <w:pPr>
              <w:jc w:val="center"/>
              <w:rPr>
                <w:color w:val="FF0000"/>
              </w:rPr>
            </w:pPr>
            <w:r w:rsidRPr="009C4159">
              <w:rPr>
                <w:color w:val="FF0000"/>
              </w:rPr>
              <w:t>Applies to grant agreement amendments executed between 3/3/20 and 10/1/20</w:t>
            </w:r>
          </w:p>
        </w:tc>
      </w:tr>
      <w:tr w:rsidR="003D161D" w14:paraId="732F7B79" w14:textId="77777777" w:rsidTr="00547635">
        <w:tc>
          <w:tcPr>
            <w:tcW w:w="2065" w:type="dxa"/>
          </w:tcPr>
          <w:p w14:paraId="05FEED21" w14:textId="55377841" w:rsidR="003D161D" w:rsidRPr="009C4159" w:rsidRDefault="00FB6201" w:rsidP="00F4000F">
            <w:pPr>
              <w:rPr>
                <w:b/>
                <w:bCs/>
                <w:color w:val="FF0000"/>
              </w:rPr>
            </w:pPr>
            <w:r w:rsidRPr="009C4159">
              <w:rPr>
                <w:b/>
                <w:bCs/>
                <w:color w:val="FF0000"/>
              </w:rPr>
              <w:t xml:space="preserve">CoC Permanent Supportive </w:t>
            </w:r>
            <w:r w:rsidR="00007E16" w:rsidRPr="009C4159">
              <w:rPr>
                <w:b/>
                <w:bCs/>
                <w:color w:val="FF0000"/>
              </w:rPr>
              <w:t>Housing</w:t>
            </w:r>
          </w:p>
        </w:tc>
        <w:tc>
          <w:tcPr>
            <w:tcW w:w="4860" w:type="dxa"/>
          </w:tcPr>
          <w:p w14:paraId="21CBB15C" w14:textId="48B3B9B4" w:rsidR="00FB6201" w:rsidRPr="009C4159" w:rsidRDefault="00FB6201" w:rsidP="00FB6201">
            <w:pPr>
              <w:rPr>
                <w:rFonts w:ascii="Times" w:hAnsi="Times" w:cs="Calibri"/>
                <w:b/>
                <w:bCs/>
                <w:color w:val="FF0000"/>
              </w:rPr>
            </w:pPr>
            <w:r w:rsidRPr="009C4159">
              <w:rPr>
                <w:rFonts w:ascii="Times" w:hAnsi="Times" w:cs="Calibri"/>
                <w:b/>
                <w:bCs/>
                <w:color w:val="FF0000"/>
              </w:rPr>
              <w:t>Change to DedicatedPLUS Eligibility</w:t>
            </w:r>
          </w:p>
          <w:p w14:paraId="2BB2FFEF" w14:textId="3A16F2C6" w:rsidR="00FB6201" w:rsidRPr="009C4159" w:rsidRDefault="00FB6201" w:rsidP="00FB6201">
            <w:pPr>
              <w:rPr>
                <w:rFonts w:ascii="Times" w:hAnsi="Times" w:cs="Calibri"/>
                <w:color w:val="FF0000"/>
              </w:rPr>
            </w:pPr>
            <w:r w:rsidRPr="009C4159">
              <w:rPr>
                <w:rFonts w:ascii="Times" w:hAnsi="Times" w:cs="Calibri"/>
                <w:color w:val="FF0000"/>
              </w:rPr>
              <w:t>For Dedicated Plus projects awarded in the 2018 and 2019 competitions, people who were</w:t>
            </w:r>
            <w:r w:rsidRPr="009C4159">
              <w:rPr>
                <w:rStyle w:val="apple-converted-space"/>
                <w:rFonts w:ascii="Times" w:hAnsi="Times" w:cs="Calibri"/>
                <w:color w:val="FF0000"/>
              </w:rPr>
              <w:t> </w:t>
            </w:r>
            <w:r w:rsidRPr="009C4159">
              <w:rPr>
                <w:rFonts w:ascii="Times" w:hAnsi="Times" w:cs="Calibri"/>
                <w:color w:val="FF0000"/>
              </w:rPr>
              <w:t xml:space="preserve">chronically homeless prior to entering TH will qualify as Dedicated Plus regardless of whether or not the TH is being eliminated.  </w:t>
            </w:r>
          </w:p>
          <w:p w14:paraId="1FDBB77F" w14:textId="77777777" w:rsidR="003D161D" w:rsidRPr="009C4159" w:rsidRDefault="003D161D" w:rsidP="00F4000F">
            <w:pPr>
              <w:rPr>
                <w:b/>
                <w:bCs/>
                <w:i/>
                <w:iCs/>
                <w:color w:val="FF0000"/>
              </w:rPr>
            </w:pPr>
          </w:p>
        </w:tc>
        <w:tc>
          <w:tcPr>
            <w:tcW w:w="2425" w:type="dxa"/>
            <w:vAlign w:val="center"/>
          </w:tcPr>
          <w:p w14:paraId="4B1B58EE" w14:textId="79BA618C" w:rsidR="003D161D" w:rsidRPr="009C4159" w:rsidRDefault="00FB6201" w:rsidP="00547635">
            <w:pPr>
              <w:jc w:val="center"/>
              <w:rPr>
                <w:color w:val="FF0000"/>
              </w:rPr>
            </w:pPr>
            <w:r w:rsidRPr="009C4159">
              <w:rPr>
                <w:color w:val="FF0000"/>
              </w:rPr>
              <w:t xml:space="preserve">Applies to Dedicated Plus projects awarded in the 2018 and 2019 competition – expiration date </w:t>
            </w:r>
            <w:r w:rsidR="002624B6" w:rsidRPr="009C4159">
              <w:rPr>
                <w:color w:val="FF0000"/>
              </w:rPr>
              <w:t xml:space="preserve">varies by project and is </w:t>
            </w:r>
            <w:r w:rsidRPr="009C4159">
              <w:rPr>
                <w:color w:val="FF0000"/>
              </w:rPr>
              <w:t>determined by grant end date.</w:t>
            </w:r>
          </w:p>
        </w:tc>
      </w:tr>
      <w:tr w:rsidR="008F1C7E" w14:paraId="6EB52669" w14:textId="77777777" w:rsidTr="00547635">
        <w:tc>
          <w:tcPr>
            <w:tcW w:w="2065" w:type="dxa"/>
          </w:tcPr>
          <w:p w14:paraId="65C1495C" w14:textId="37F07CE7" w:rsidR="008F1C7E" w:rsidRPr="00CC391F" w:rsidRDefault="003474A7" w:rsidP="00F4000F">
            <w:pPr>
              <w:rPr>
                <w:b/>
                <w:bCs/>
              </w:rPr>
            </w:pPr>
            <w:r>
              <w:rPr>
                <w:b/>
                <w:bCs/>
              </w:rPr>
              <w:t xml:space="preserve">CoC </w:t>
            </w:r>
            <w:r w:rsidR="008F1C7E" w:rsidRPr="00CC391F">
              <w:rPr>
                <w:b/>
                <w:bCs/>
              </w:rPr>
              <w:t>Leasing</w:t>
            </w:r>
            <w:r>
              <w:rPr>
                <w:b/>
                <w:bCs/>
              </w:rPr>
              <w:t xml:space="preserve"> Budget Line Item</w:t>
            </w:r>
          </w:p>
        </w:tc>
        <w:tc>
          <w:tcPr>
            <w:tcW w:w="4860" w:type="dxa"/>
          </w:tcPr>
          <w:p w14:paraId="432832FA" w14:textId="77777777" w:rsidR="008F1C7E" w:rsidRPr="00CC391F" w:rsidRDefault="008F1C7E" w:rsidP="00F4000F">
            <w:pPr>
              <w:rPr>
                <w:b/>
                <w:bCs/>
                <w:i/>
                <w:iCs/>
              </w:rPr>
            </w:pPr>
            <w:r w:rsidRPr="00CC391F">
              <w:rPr>
                <w:b/>
                <w:bCs/>
                <w:i/>
                <w:iCs/>
              </w:rPr>
              <w:t>FMR for Individual Units and Leasing Costs</w:t>
            </w:r>
          </w:p>
          <w:p w14:paraId="78388885" w14:textId="3B4902DC" w:rsidR="008F1C7E" w:rsidRDefault="008F1C7E" w:rsidP="00F4000F">
            <w:r>
              <w:t>Units assisted under leasing may rent for more than the applicable FMR provided that the rent passes rent reasonableness test</w:t>
            </w:r>
            <w:r w:rsidR="003474A7">
              <w:t>.</w:t>
            </w:r>
          </w:p>
        </w:tc>
        <w:tc>
          <w:tcPr>
            <w:tcW w:w="2425" w:type="dxa"/>
            <w:vAlign w:val="center"/>
          </w:tcPr>
          <w:p w14:paraId="2BDA3F25" w14:textId="2C3B36D3" w:rsidR="008F1C7E" w:rsidRDefault="00547635" w:rsidP="00547635">
            <w:pPr>
              <w:jc w:val="center"/>
            </w:pPr>
            <w:r>
              <w:t>Effective through 9/30/20</w:t>
            </w:r>
          </w:p>
        </w:tc>
      </w:tr>
      <w:tr w:rsidR="008F1C7E" w14:paraId="173F3E5C" w14:textId="77777777" w:rsidTr="00547635">
        <w:tc>
          <w:tcPr>
            <w:tcW w:w="2065" w:type="dxa"/>
          </w:tcPr>
          <w:p w14:paraId="368F7E49" w14:textId="7D1C1BEB" w:rsidR="008F1C7E" w:rsidRPr="00CC391F" w:rsidRDefault="003474A7" w:rsidP="00F4000F">
            <w:pPr>
              <w:rPr>
                <w:b/>
                <w:bCs/>
              </w:rPr>
            </w:pPr>
            <w:r>
              <w:rPr>
                <w:b/>
                <w:bCs/>
              </w:rPr>
              <w:t xml:space="preserve">CoC </w:t>
            </w:r>
            <w:r w:rsidR="008F1C7E" w:rsidRPr="00CC391F">
              <w:rPr>
                <w:b/>
                <w:bCs/>
              </w:rPr>
              <w:t>Permanent Supportive Housing</w:t>
            </w:r>
          </w:p>
        </w:tc>
        <w:tc>
          <w:tcPr>
            <w:tcW w:w="4860" w:type="dxa"/>
          </w:tcPr>
          <w:p w14:paraId="39EC7EFA" w14:textId="77777777" w:rsidR="008F1C7E" w:rsidRPr="00CC391F" w:rsidRDefault="008F1C7E" w:rsidP="00F4000F">
            <w:pPr>
              <w:rPr>
                <w:b/>
                <w:bCs/>
                <w:i/>
                <w:iCs/>
              </w:rPr>
            </w:pPr>
            <w:r w:rsidRPr="00CC391F">
              <w:rPr>
                <w:b/>
                <w:bCs/>
                <w:i/>
                <w:iCs/>
              </w:rPr>
              <w:t>Disability Documentation for PSH</w:t>
            </w:r>
          </w:p>
          <w:p w14:paraId="40D00919" w14:textId="064FCF26" w:rsidR="008F1C7E" w:rsidRDefault="008F1C7E" w:rsidP="00F4000F">
            <w:r>
              <w:t>Disability determination can be based solely on staff-recorded observation of disability. Other documentation does not have to be provided within 45 days. A written certification by the individual seeking assistance that they have a qualifying disability is acceptable documentation</w:t>
            </w:r>
            <w:r w:rsidR="00547635">
              <w:t xml:space="preserve"> to initiate assistance</w:t>
            </w:r>
            <w:r>
              <w:t>.</w:t>
            </w:r>
          </w:p>
        </w:tc>
        <w:tc>
          <w:tcPr>
            <w:tcW w:w="2425" w:type="dxa"/>
            <w:vAlign w:val="center"/>
          </w:tcPr>
          <w:p w14:paraId="07F9DA7A" w14:textId="664E2E9B" w:rsidR="008F1C7E" w:rsidRDefault="00547635" w:rsidP="00547635">
            <w:pPr>
              <w:jc w:val="center"/>
            </w:pPr>
            <w:r>
              <w:t>Effective through 9/30/20</w:t>
            </w:r>
          </w:p>
        </w:tc>
      </w:tr>
      <w:tr w:rsidR="008F1C7E" w14:paraId="11F7C0F9" w14:textId="77777777" w:rsidTr="00547635">
        <w:tc>
          <w:tcPr>
            <w:tcW w:w="2065" w:type="dxa"/>
          </w:tcPr>
          <w:p w14:paraId="70480033" w14:textId="5D67C832" w:rsidR="008F1C7E" w:rsidRPr="00CC391F" w:rsidRDefault="003474A7" w:rsidP="00F4000F">
            <w:pPr>
              <w:rPr>
                <w:b/>
                <w:bCs/>
              </w:rPr>
            </w:pPr>
            <w:r>
              <w:rPr>
                <w:b/>
                <w:bCs/>
              </w:rPr>
              <w:t xml:space="preserve">CoC </w:t>
            </w:r>
            <w:r w:rsidR="008F1C7E" w:rsidRPr="00CC391F">
              <w:rPr>
                <w:b/>
                <w:bCs/>
              </w:rPr>
              <w:t xml:space="preserve">Supportive Services </w:t>
            </w:r>
            <w:r>
              <w:rPr>
                <w:b/>
                <w:bCs/>
              </w:rPr>
              <w:t>Budget Line Item</w:t>
            </w:r>
          </w:p>
        </w:tc>
        <w:tc>
          <w:tcPr>
            <w:tcW w:w="4860" w:type="dxa"/>
          </w:tcPr>
          <w:p w14:paraId="153C87E3" w14:textId="77777777" w:rsidR="008F1C7E" w:rsidRPr="00CC391F" w:rsidRDefault="008F1C7E" w:rsidP="00F4000F">
            <w:pPr>
              <w:rPr>
                <w:b/>
                <w:bCs/>
                <w:i/>
                <w:iCs/>
              </w:rPr>
            </w:pPr>
            <w:r w:rsidRPr="00CC391F">
              <w:rPr>
                <w:b/>
                <w:bCs/>
                <w:i/>
                <w:iCs/>
              </w:rPr>
              <w:t xml:space="preserve">Limit on Eligible Housing Search and Counseling </w:t>
            </w:r>
          </w:p>
          <w:p w14:paraId="4E35BD8C" w14:textId="1FBCCE55" w:rsidR="008F1C7E" w:rsidRDefault="008F1C7E" w:rsidP="00F4000F">
            <w:r w:rsidRPr="00823236">
              <w:t>CoC Program funds may be used for up to 6 months of a program participant’s utility arrears and up to 6 months of program participant’s rent arrears, when those arrears make it difficult to obtain housing</w:t>
            </w:r>
            <w:r w:rsidR="003474A7">
              <w:t>.</w:t>
            </w:r>
          </w:p>
        </w:tc>
        <w:tc>
          <w:tcPr>
            <w:tcW w:w="2425" w:type="dxa"/>
            <w:vAlign w:val="center"/>
          </w:tcPr>
          <w:p w14:paraId="7AF38E56" w14:textId="660C97DF" w:rsidR="00547635" w:rsidRDefault="00547635" w:rsidP="00547635">
            <w:pPr>
              <w:jc w:val="center"/>
            </w:pPr>
            <w:r>
              <w:t>Effective through</w:t>
            </w:r>
          </w:p>
          <w:p w14:paraId="7EB57288" w14:textId="4CE7CDBB" w:rsidR="008F1C7E" w:rsidRDefault="008F1C7E" w:rsidP="00547635">
            <w:pPr>
              <w:jc w:val="center"/>
            </w:pPr>
            <w:r>
              <w:t>3/31/2</w:t>
            </w:r>
            <w:r w:rsidR="00547635">
              <w:t>1</w:t>
            </w:r>
          </w:p>
        </w:tc>
      </w:tr>
      <w:tr w:rsidR="008F1C7E" w14:paraId="5739BF15" w14:textId="77777777" w:rsidTr="00547635">
        <w:tc>
          <w:tcPr>
            <w:tcW w:w="2065" w:type="dxa"/>
          </w:tcPr>
          <w:p w14:paraId="68B2C3C8" w14:textId="21038973" w:rsidR="008F1C7E" w:rsidRPr="00CC391F" w:rsidRDefault="003474A7" w:rsidP="00F4000F">
            <w:pPr>
              <w:rPr>
                <w:b/>
                <w:bCs/>
              </w:rPr>
            </w:pPr>
            <w:r>
              <w:rPr>
                <w:b/>
                <w:bCs/>
              </w:rPr>
              <w:t xml:space="preserve">CoC &amp; ESG </w:t>
            </w:r>
            <w:r w:rsidR="008F1C7E" w:rsidRPr="00CC391F">
              <w:rPr>
                <w:b/>
                <w:bCs/>
              </w:rPr>
              <w:t>Rapid Rehousing</w:t>
            </w:r>
          </w:p>
        </w:tc>
        <w:tc>
          <w:tcPr>
            <w:tcW w:w="4860" w:type="dxa"/>
          </w:tcPr>
          <w:p w14:paraId="2D0DB9C2" w14:textId="77777777" w:rsidR="008F1C7E" w:rsidRPr="00CC391F" w:rsidRDefault="008F1C7E" w:rsidP="00F4000F">
            <w:pPr>
              <w:rPr>
                <w:b/>
                <w:bCs/>
                <w:i/>
                <w:iCs/>
              </w:rPr>
            </w:pPr>
            <w:r w:rsidRPr="00CC391F">
              <w:rPr>
                <w:b/>
                <w:bCs/>
                <w:i/>
                <w:iCs/>
              </w:rPr>
              <w:t>RRH Monthly Case Management</w:t>
            </w:r>
          </w:p>
          <w:p w14:paraId="029C02C0" w14:textId="29444648" w:rsidR="008F1C7E" w:rsidRDefault="008F1C7E" w:rsidP="00F4000F">
            <w:r>
              <w:t>Program participants are not required to meet at least monthly with their case manager</w:t>
            </w:r>
            <w:r w:rsidR="003474A7">
              <w:t>.</w:t>
            </w:r>
          </w:p>
        </w:tc>
        <w:tc>
          <w:tcPr>
            <w:tcW w:w="2425" w:type="dxa"/>
            <w:vAlign w:val="center"/>
          </w:tcPr>
          <w:p w14:paraId="2694F05D" w14:textId="192816F2" w:rsidR="00547635" w:rsidRPr="009C4159" w:rsidRDefault="00547635" w:rsidP="00547635">
            <w:pPr>
              <w:jc w:val="center"/>
              <w:rPr>
                <w:color w:val="FF0000"/>
              </w:rPr>
            </w:pPr>
            <w:r w:rsidRPr="009C4159">
              <w:rPr>
                <w:color w:val="FF0000"/>
              </w:rPr>
              <w:t>Effective through</w:t>
            </w:r>
          </w:p>
          <w:p w14:paraId="362226DD" w14:textId="383E6874" w:rsidR="008F1C7E" w:rsidRDefault="003D161D" w:rsidP="00547635">
            <w:pPr>
              <w:jc w:val="center"/>
            </w:pPr>
            <w:r w:rsidRPr="009C4159">
              <w:rPr>
                <w:color w:val="FF0000"/>
              </w:rPr>
              <w:t>8/22/20</w:t>
            </w:r>
          </w:p>
        </w:tc>
      </w:tr>
      <w:tr w:rsidR="008F1C7E" w14:paraId="32707594" w14:textId="77777777" w:rsidTr="00547635">
        <w:tc>
          <w:tcPr>
            <w:tcW w:w="2065" w:type="dxa"/>
          </w:tcPr>
          <w:p w14:paraId="46FCAB26" w14:textId="77777777" w:rsidR="008F1C7E" w:rsidRDefault="003474A7" w:rsidP="00F4000F">
            <w:pPr>
              <w:rPr>
                <w:b/>
                <w:bCs/>
              </w:rPr>
            </w:pPr>
            <w:r>
              <w:rPr>
                <w:b/>
                <w:bCs/>
              </w:rPr>
              <w:t xml:space="preserve">CoC </w:t>
            </w:r>
            <w:r w:rsidR="008F1C7E" w:rsidRPr="00CC391F">
              <w:rPr>
                <w:b/>
                <w:bCs/>
              </w:rPr>
              <w:t>Leasing and Rental Assistance</w:t>
            </w:r>
            <w:r>
              <w:rPr>
                <w:b/>
                <w:bCs/>
              </w:rPr>
              <w:t xml:space="preserve"> Budget Line Items</w:t>
            </w:r>
          </w:p>
          <w:p w14:paraId="5D646E74" w14:textId="2BA222C0" w:rsidR="003474A7" w:rsidRPr="00CC391F" w:rsidRDefault="00E1491D" w:rsidP="00F4000F">
            <w:pPr>
              <w:rPr>
                <w:b/>
                <w:bCs/>
              </w:rPr>
            </w:pPr>
            <w:r>
              <w:rPr>
                <w:b/>
                <w:bCs/>
              </w:rPr>
              <w:t>&amp;</w:t>
            </w:r>
            <w:r w:rsidR="003474A7">
              <w:rPr>
                <w:b/>
                <w:bCs/>
              </w:rPr>
              <w:t xml:space="preserve"> ESG RRH.</w:t>
            </w:r>
          </w:p>
        </w:tc>
        <w:tc>
          <w:tcPr>
            <w:tcW w:w="4860" w:type="dxa"/>
          </w:tcPr>
          <w:p w14:paraId="70EE5292" w14:textId="77777777" w:rsidR="008F1C7E" w:rsidRPr="00CC391F" w:rsidRDefault="008F1C7E" w:rsidP="00F4000F">
            <w:pPr>
              <w:rPr>
                <w:b/>
                <w:bCs/>
                <w:i/>
                <w:iCs/>
              </w:rPr>
            </w:pPr>
            <w:r w:rsidRPr="00CC391F">
              <w:rPr>
                <w:b/>
                <w:bCs/>
                <w:i/>
                <w:iCs/>
              </w:rPr>
              <w:t>HQS Initial Physical Inspection of Unit</w:t>
            </w:r>
          </w:p>
          <w:p w14:paraId="01E2A39A" w14:textId="08B6C091" w:rsidR="008F1C7E" w:rsidRDefault="008F1C7E" w:rsidP="00F4000F">
            <w:r>
              <w:t>In lieu of physically inspecting units, grantees may visually inspect units using technology such as video streaming prior to providing housing assistance; units must be physically re</w:t>
            </w:r>
            <w:r w:rsidR="00F82FF8">
              <w:t>-</w:t>
            </w:r>
            <w:r>
              <w:t>inspected within 3 months of health officials determining that special measures to prevent the spread of Covid-19 are no longer needed</w:t>
            </w:r>
          </w:p>
        </w:tc>
        <w:tc>
          <w:tcPr>
            <w:tcW w:w="2425" w:type="dxa"/>
            <w:vAlign w:val="center"/>
          </w:tcPr>
          <w:p w14:paraId="6EAB0875" w14:textId="7B2450B4" w:rsidR="008F1C7E" w:rsidRDefault="00547635" w:rsidP="00547635">
            <w:pPr>
              <w:jc w:val="center"/>
            </w:pPr>
            <w:r>
              <w:t>Effective until 9/30/20;</w:t>
            </w:r>
            <w:r w:rsidR="008F1C7E">
              <w:t xml:space="preserve"> </w:t>
            </w:r>
            <w:r>
              <w:t>Must perform a physical reinspection within 3 months of when health officials determine that Covid-19 measures are no longer needed</w:t>
            </w:r>
          </w:p>
        </w:tc>
      </w:tr>
      <w:tr w:rsidR="008F1C7E" w14:paraId="0DB95325" w14:textId="77777777" w:rsidTr="00F4000F">
        <w:tc>
          <w:tcPr>
            <w:tcW w:w="2065" w:type="dxa"/>
          </w:tcPr>
          <w:p w14:paraId="390C020A" w14:textId="77777777" w:rsidR="003474A7" w:rsidRDefault="003474A7" w:rsidP="00F4000F">
            <w:pPr>
              <w:rPr>
                <w:b/>
                <w:bCs/>
              </w:rPr>
            </w:pPr>
            <w:r>
              <w:rPr>
                <w:b/>
                <w:bCs/>
              </w:rPr>
              <w:t xml:space="preserve">CoC </w:t>
            </w:r>
            <w:r w:rsidR="008F1C7E" w:rsidRPr="00CC391F">
              <w:rPr>
                <w:b/>
                <w:bCs/>
              </w:rPr>
              <w:t>Leasing and Rental Assistance</w:t>
            </w:r>
            <w:r>
              <w:rPr>
                <w:b/>
                <w:bCs/>
              </w:rPr>
              <w:t xml:space="preserve"> Budget Line Items</w:t>
            </w:r>
          </w:p>
          <w:p w14:paraId="1F5B901A" w14:textId="7550EF49" w:rsidR="003474A7" w:rsidRPr="003474A7" w:rsidRDefault="00E1491D" w:rsidP="00F4000F">
            <w:pPr>
              <w:rPr>
                <w:b/>
                <w:bCs/>
              </w:rPr>
            </w:pPr>
            <w:r>
              <w:rPr>
                <w:b/>
                <w:bCs/>
              </w:rPr>
              <w:t>&amp;</w:t>
            </w:r>
            <w:r w:rsidR="003474A7">
              <w:rPr>
                <w:b/>
                <w:bCs/>
              </w:rPr>
              <w:t xml:space="preserve"> ESG RRH</w:t>
            </w:r>
          </w:p>
        </w:tc>
        <w:tc>
          <w:tcPr>
            <w:tcW w:w="4860" w:type="dxa"/>
          </w:tcPr>
          <w:p w14:paraId="16B3E70D" w14:textId="77777777" w:rsidR="008F1C7E" w:rsidRPr="00CC391F" w:rsidRDefault="008F1C7E" w:rsidP="00F4000F">
            <w:pPr>
              <w:rPr>
                <w:b/>
                <w:bCs/>
                <w:i/>
                <w:iCs/>
              </w:rPr>
            </w:pPr>
            <w:r w:rsidRPr="00CC391F">
              <w:rPr>
                <w:b/>
                <w:bCs/>
                <w:i/>
                <w:iCs/>
              </w:rPr>
              <w:t>HQS Re-Inspection of Units</w:t>
            </w:r>
          </w:p>
          <w:p w14:paraId="0EB39AA5" w14:textId="77777777" w:rsidR="008F1C7E" w:rsidRDefault="008F1C7E" w:rsidP="00F4000F">
            <w:r>
              <w:t>Requirement to annually reinspect for HQS is waived</w:t>
            </w:r>
          </w:p>
        </w:tc>
        <w:tc>
          <w:tcPr>
            <w:tcW w:w="2425" w:type="dxa"/>
          </w:tcPr>
          <w:p w14:paraId="1B4052E8" w14:textId="0EED58C1" w:rsidR="008F1C7E" w:rsidRDefault="00547635" w:rsidP="003474A7">
            <w:pPr>
              <w:jc w:val="center"/>
            </w:pPr>
            <w:r>
              <w:t>Effective through</w:t>
            </w:r>
            <w:r w:rsidR="008F1C7E">
              <w:t xml:space="preserve"> 3/31/2</w:t>
            </w:r>
            <w:r>
              <w:t>1</w:t>
            </w:r>
          </w:p>
        </w:tc>
      </w:tr>
      <w:tr w:rsidR="008F1C7E" w14:paraId="2EB0EFE7" w14:textId="77777777" w:rsidTr="00F4000F">
        <w:tc>
          <w:tcPr>
            <w:tcW w:w="2065" w:type="dxa"/>
          </w:tcPr>
          <w:p w14:paraId="19B76326" w14:textId="780223E7" w:rsidR="008F1C7E" w:rsidRPr="00CC391F" w:rsidRDefault="00E1491D" w:rsidP="00F4000F">
            <w:pPr>
              <w:rPr>
                <w:b/>
                <w:bCs/>
              </w:rPr>
            </w:pPr>
            <w:r>
              <w:rPr>
                <w:b/>
                <w:bCs/>
              </w:rPr>
              <w:t xml:space="preserve">CoC </w:t>
            </w:r>
            <w:r w:rsidR="008F1C7E" w:rsidRPr="00CC391F">
              <w:rPr>
                <w:b/>
                <w:bCs/>
              </w:rPr>
              <w:t>Permanent Supportive Housing</w:t>
            </w:r>
            <w:r w:rsidR="00547635">
              <w:rPr>
                <w:b/>
                <w:bCs/>
              </w:rPr>
              <w:t xml:space="preserve"> &amp; </w:t>
            </w:r>
            <w:r>
              <w:rPr>
                <w:b/>
                <w:bCs/>
              </w:rPr>
              <w:t xml:space="preserve">CoC &amp; ESG </w:t>
            </w:r>
            <w:r w:rsidR="00547635">
              <w:rPr>
                <w:b/>
                <w:bCs/>
              </w:rPr>
              <w:t>Rapid Re-Housing</w:t>
            </w:r>
          </w:p>
        </w:tc>
        <w:tc>
          <w:tcPr>
            <w:tcW w:w="4860" w:type="dxa"/>
          </w:tcPr>
          <w:p w14:paraId="2B635ED4" w14:textId="77777777" w:rsidR="008F1C7E" w:rsidRPr="00B368F9" w:rsidRDefault="008F1C7E" w:rsidP="00F4000F">
            <w:pPr>
              <w:rPr>
                <w:i/>
                <w:iCs/>
              </w:rPr>
            </w:pPr>
            <w:r w:rsidRPr="00CC391F">
              <w:rPr>
                <w:b/>
                <w:bCs/>
                <w:i/>
                <w:iCs/>
              </w:rPr>
              <w:t>One-Year Lease Requirement</w:t>
            </w:r>
            <w:r>
              <w:rPr>
                <w:i/>
                <w:iCs/>
              </w:rPr>
              <w:t>.</w:t>
            </w:r>
          </w:p>
          <w:p w14:paraId="1E39C36F" w14:textId="77777777" w:rsidR="008F1C7E" w:rsidRDefault="008F1C7E" w:rsidP="00F4000F">
            <w:r>
              <w:t>Initial term of all leases must now be more than one month.</w:t>
            </w:r>
          </w:p>
        </w:tc>
        <w:tc>
          <w:tcPr>
            <w:tcW w:w="2425" w:type="dxa"/>
          </w:tcPr>
          <w:p w14:paraId="290B39B0" w14:textId="43698E6B" w:rsidR="008F1C7E" w:rsidRDefault="003474A7" w:rsidP="003474A7">
            <w:pPr>
              <w:jc w:val="center"/>
            </w:pPr>
            <w:r>
              <w:t>Effective through 9/30/20</w:t>
            </w:r>
          </w:p>
        </w:tc>
      </w:tr>
    </w:tbl>
    <w:p w14:paraId="1FB809F3" w14:textId="77777777" w:rsidR="00412CC4" w:rsidRPr="00201118" w:rsidRDefault="00412CC4" w:rsidP="00201118">
      <w:pPr>
        <w:rPr>
          <w:rFonts w:ascii="Calibri" w:hAnsi="Calibri"/>
        </w:rPr>
      </w:pPr>
    </w:p>
    <w:sectPr w:rsidR="00412CC4" w:rsidRPr="00201118" w:rsidSect="00223C86">
      <w:footerReference w:type="even"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FA70" w14:textId="77777777" w:rsidR="00105B77" w:rsidRDefault="00105B77" w:rsidP="00E25FD8">
      <w:r>
        <w:separator/>
      </w:r>
    </w:p>
  </w:endnote>
  <w:endnote w:type="continuationSeparator" w:id="0">
    <w:p w14:paraId="7E132D70" w14:textId="77777777" w:rsidR="00105B77" w:rsidRDefault="00105B77" w:rsidP="00E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894192"/>
      <w:docPartObj>
        <w:docPartGallery w:val="Page Numbers (Bottom of Page)"/>
        <w:docPartUnique/>
      </w:docPartObj>
    </w:sdtPr>
    <w:sdtEndPr>
      <w:rPr>
        <w:rStyle w:val="PageNumber"/>
      </w:rPr>
    </w:sdtEndPr>
    <w:sdtContent>
      <w:p w14:paraId="3AD77BB0" w14:textId="56E502BA" w:rsidR="00F4000F" w:rsidRDefault="00F4000F" w:rsidP="00EB7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DDCC8" w14:textId="77777777" w:rsidR="00F4000F" w:rsidRDefault="00F4000F" w:rsidP="00EB7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8909754"/>
      <w:docPartObj>
        <w:docPartGallery w:val="Page Numbers (Bottom of Page)"/>
        <w:docPartUnique/>
      </w:docPartObj>
    </w:sdtPr>
    <w:sdtEndPr>
      <w:rPr>
        <w:rStyle w:val="PageNumber"/>
      </w:rPr>
    </w:sdtEndPr>
    <w:sdtContent>
      <w:p w14:paraId="1F0C6100" w14:textId="07E398BC" w:rsidR="00F4000F" w:rsidRDefault="00F4000F" w:rsidP="00EB7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6CCF">
          <w:rPr>
            <w:rStyle w:val="PageNumber"/>
            <w:noProof/>
          </w:rPr>
          <w:t>7</w:t>
        </w:r>
        <w:r>
          <w:rPr>
            <w:rStyle w:val="PageNumber"/>
          </w:rPr>
          <w:fldChar w:fldCharType="end"/>
        </w:r>
      </w:p>
    </w:sdtContent>
  </w:sdt>
  <w:p w14:paraId="1667C942" w14:textId="535CA8AE" w:rsidR="00F4000F" w:rsidRPr="00EB74F6" w:rsidRDefault="00EB74F6" w:rsidP="00EB74F6">
    <w:pPr>
      <w:pStyle w:val="Footer"/>
      <w:ind w:right="360"/>
      <w:rPr>
        <w:rFonts w:asciiTheme="minorHAnsi" w:hAnsiTheme="minorHAnsi" w:cstheme="minorHAnsi"/>
      </w:rPr>
    </w:pPr>
    <w:r w:rsidRPr="00EB74F6">
      <w:rPr>
        <w:rFonts w:asciiTheme="minorHAnsi" w:hAnsiTheme="minorHAnsi" w:cstheme="minorHAnsi"/>
      </w:rPr>
      <w:t>5/28/20 CT BOS Memo Re: Additional COVID-19 Related Waivers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F80B" w14:textId="77777777" w:rsidR="00105B77" w:rsidRDefault="00105B77" w:rsidP="00E25FD8">
      <w:r>
        <w:separator/>
      </w:r>
    </w:p>
  </w:footnote>
  <w:footnote w:type="continuationSeparator" w:id="0">
    <w:p w14:paraId="714919A0" w14:textId="77777777" w:rsidR="00105B77" w:rsidRDefault="00105B77" w:rsidP="00E2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528D" w14:textId="7337C284" w:rsidR="00F4000F" w:rsidRDefault="00446A0D">
    <w:pPr>
      <w:pStyle w:val="Header"/>
    </w:pPr>
    <w:r>
      <w:rPr>
        <w:noProof/>
      </w:rPr>
      <w:drawing>
        <wp:anchor distT="0" distB="0" distL="114300" distR="114300" simplePos="0" relativeHeight="251661312" behindDoc="0" locked="0" layoutInCell="1" allowOverlap="1" wp14:anchorId="3D2E3C16" wp14:editId="62F8693B">
          <wp:simplePos x="0" y="0"/>
          <wp:positionH relativeFrom="page">
            <wp:posOffset>435769</wp:posOffset>
          </wp:positionH>
          <wp:positionV relativeFrom="page">
            <wp:posOffset>299878</wp:posOffset>
          </wp:positionV>
          <wp:extent cx="6870724"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583"/>
    <w:multiLevelType w:val="hybridMultilevel"/>
    <w:tmpl w:val="DB561AF8"/>
    <w:lvl w:ilvl="0" w:tplc="E88618A4">
      <w:start w:val="1"/>
      <w:numFmt w:val="bullet"/>
      <w:lvlText w:val=" "/>
      <w:lvlJc w:val="left"/>
      <w:pPr>
        <w:tabs>
          <w:tab w:val="num" w:pos="720"/>
        </w:tabs>
        <w:ind w:left="720" w:hanging="360"/>
      </w:pPr>
      <w:rPr>
        <w:rFonts w:ascii="Calibri" w:hAnsi="Calibri" w:hint="default"/>
      </w:rPr>
    </w:lvl>
    <w:lvl w:ilvl="1" w:tplc="A4BC42C4" w:tentative="1">
      <w:start w:val="1"/>
      <w:numFmt w:val="bullet"/>
      <w:lvlText w:val=" "/>
      <w:lvlJc w:val="left"/>
      <w:pPr>
        <w:tabs>
          <w:tab w:val="num" w:pos="1440"/>
        </w:tabs>
        <w:ind w:left="1440" w:hanging="360"/>
      </w:pPr>
      <w:rPr>
        <w:rFonts w:ascii="Calibri" w:hAnsi="Calibri" w:hint="default"/>
      </w:rPr>
    </w:lvl>
    <w:lvl w:ilvl="2" w:tplc="D0CE244C" w:tentative="1">
      <w:start w:val="1"/>
      <w:numFmt w:val="bullet"/>
      <w:lvlText w:val=" "/>
      <w:lvlJc w:val="left"/>
      <w:pPr>
        <w:tabs>
          <w:tab w:val="num" w:pos="2160"/>
        </w:tabs>
        <w:ind w:left="2160" w:hanging="360"/>
      </w:pPr>
      <w:rPr>
        <w:rFonts w:ascii="Calibri" w:hAnsi="Calibri" w:hint="default"/>
      </w:rPr>
    </w:lvl>
    <w:lvl w:ilvl="3" w:tplc="C12061E2" w:tentative="1">
      <w:start w:val="1"/>
      <w:numFmt w:val="bullet"/>
      <w:lvlText w:val=" "/>
      <w:lvlJc w:val="left"/>
      <w:pPr>
        <w:tabs>
          <w:tab w:val="num" w:pos="2880"/>
        </w:tabs>
        <w:ind w:left="2880" w:hanging="360"/>
      </w:pPr>
      <w:rPr>
        <w:rFonts w:ascii="Calibri" w:hAnsi="Calibri" w:hint="default"/>
      </w:rPr>
    </w:lvl>
    <w:lvl w:ilvl="4" w:tplc="9E34A830" w:tentative="1">
      <w:start w:val="1"/>
      <w:numFmt w:val="bullet"/>
      <w:lvlText w:val=" "/>
      <w:lvlJc w:val="left"/>
      <w:pPr>
        <w:tabs>
          <w:tab w:val="num" w:pos="3600"/>
        </w:tabs>
        <w:ind w:left="3600" w:hanging="360"/>
      </w:pPr>
      <w:rPr>
        <w:rFonts w:ascii="Calibri" w:hAnsi="Calibri" w:hint="default"/>
      </w:rPr>
    </w:lvl>
    <w:lvl w:ilvl="5" w:tplc="E190D380" w:tentative="1">
      <w:start w:val="1"/>
      <w:numFmt w:val="bullet"/>
      <w:lvlText w:val=" "/>
      <w:lvlJc w:val="left"/>
      <w:pPr>
        <w:tabs>
          <w:tab w:val="num" w:pos="4320"/>
        </w:tabs>
        <w:ind w:left="4320" w:hanging="360"/>
      </w:pPr>
      <w:rPr>
        <w:rFonts w:ascii="Calibri" w:hAnsi="Calibri" w:hint="default"/>
      </w:rPr>
    </w:lvl>
    <w:lvl w:ilvl="6" w:tplc="7EA4C402" w:tentative="1">
      <w:start w:val="1"/>
      <w:numFmt w:val="bullet"/>
      <w:lvlText w:val=" "/>
      <w:lvlJc w:val="left"/>
      <w:pPr>
        <w:tabs>
          <w:tab w:val="num" w:pos="5040"/>
        </w:tabs>
        <w:ind w:left="5040" w:hanging="360"/>
      </w:pPr>
      <w:rPr>
        <w:rFonts w:ascii="Calibri" w:hAnsi="Calibri" w:hint="default"/>
      </w:rPr>
    </w:lvl>
    <w:lvl w:ilvl="7" w:tplc="0F68676E" w:tentative="1">
      <w:start w:val="1"/>
      <w:numFmt w:val="bullet"/>
      <w:lvlText w:val=" "/>
      <w:lvlJc w:val="left"/>
      <w:pPr>
        <w:tabs>
          <w:tab w:val="num" w:pos="5760"/>
        </w:tabs>
        <w:ind w:left="5760" w:hanging="360"/>
      </w:pPr>
      <w:rPr>
        <w:rFonts w:ascii="Calibri" w:hAnsi="Calibri" w:hint="default"/>
      </w:rPr>
    </w:lvl>
    <w:lvl w:ilvl="8" w:tplc="72A8251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92B7496"/>
    <w:multiLevelType w:val="hybridMultilevel"/>
    <w:tmpl w:val="D2A6B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866441"/>
    <w:multiLevelType w:val="hybridMultilevel"/>
    <w:tmpl w:val="BDB8D66A"/>
    <w:lvl w:ilvl="0" w:tplc="2826B166">
      <w:start w:val="1"/>
      <w:numFmt w:val="bullet"/>
      <w:lvlText w:val="•"/>
      <w:lvlJc w:val="left"/>
      <w:pPr>
        <w:tabs>
          <w:tab w:val="num" w:pos="720"/>
        </w:tabs>
        <w:ind w:left="720" w:hanging="360"/>
      </w:pPr>
      <w:rPr>
        <w:rFonts w:ascii="Arial" w:hAnsi="Arial" w:hint="default"/>
      </w:rPr>
    </w:lvl>
    <w:lvl w:ilvl="1" w:tplc="399A55E4">
      <w:numFmt w:val="bullet"/>
      <w:lvlText w:val="•"/>
      <w:lvlJc w:val="left"/>
      <w:pPr>
        <w:tabs>
          <w:tab w:val="num" w:pos="1440"/>
        </w:tabs>
        <w:ind w:left="1440" w:hanging="360"/>
      </w:pPr>
      <w:rPr>
        <w:rFonts w:ascii="Arial" w:hAnsi="Arial" w:hint="default"/>
      </w:rPr>
    </w:lvl>
    <w:lvl w:ilvl="2" w:tplc="8084BABA" w:tentative="1">
      <w:start w:val="1"/>
      <w:numFmt w:val="bullet"/>
      <w:lvlText w:val="•"/>
      <w:lvlJc w:val="left"/>
      <w:pPr>
        <w:tabs>
          <w:tab w:val="num" w:pos="2160"/>
        </w:tabs>
        <w:ind w:left="2160" w:hanging="360"/>
      </w:pPr>
      <w:rPr>
        <w:rFonts w:ascii="Arial" w:hAnsi="Arial" w:hint="default"/>
      </w:rPr>
    </w:lvl>
    <w:lvl w:ilvl="3" w:tplc="2820E174" w:tentative="1">
      <w:start w:val="1"/>
      <w:numFmt w:val="bullet"/>
      <w:lvlText w:val="•"/>
      <w:lvlJc w:val="left"/>
      <w:pPr>
        <w:tabs>
          <w:tab w:val="num" w:pos="2880"/>
        </w:tabs>
        <w:ind w:left="2880" w:hanging="360"/>
      </w:pPr>
      <w:rPr>
        <w:rFonts w:ascii="Arial" w:hAnsi="Arial" w:hint="default"/>
      </w:rPr>
    </w:lvl>
    <w:lvl w:ilvl="4" w:tplc="9E129D20" w:tentative="1">
      <w:start w:val="1"/>
      <w:numFmt w:val="bullet"/>
      <w:lvlText w:val="•"/>
      <w:lvlJc w:val="left"/>
      <w:pPr>
        <w:tabs>
          <w:tab w:val="num" w:pos="3600"/>
        </w:tabs>
        <w:ind w:left="3600" w:hanging="360"/>
      </w:pPr>
      <w:rPr>
        <w:rFonts w:ascii="Arial" w:hAnsi="Arial" w:hint="default"/>
      </w:rPr>
    </w:lvl>
    <w:lvl w:ilvl="5" w:tplc="56FA1502" w:tentative="1">
      <w:start w:val="1"/>
      <w:numFmt w:val="bullet"/>
      <w:lvlText w:val="•"/>
      <w:lvlJc w:val="left"/>
      <w:pPr>
        <w:tabs>
          <w:tab w:val="num" w:pos="4320"/>
        </w:tabs>
        <w:ind w:left="4320" w:hanging="360"/>
      </w:pPr>
      <w:rPr>
        <w:rFonts w:ascii="Arial" w:hAnsi="Arial" w:hint="default"/>
      </w:rPr>
    </w:lvl>
    <w:lvl w:ilvl="6" w:tplc="50146666" w:tentative="1">
      <w:start w:val="1"/>
      <w:numFmt w:val="bullet"/>
      <w:lvlText w:val="•"/>
      <w:lvlJc w:val="left"/>
      <w:pPr>
        <w:tabs>
          <w:tab w:val="num" w:pos="5040"/>
        </w:tabs>
        <w:ind w:left="5040" w:hanging="360"/>
      </w:pPr>
      <w:rPr>
        <w:rFonts w:ascii="Arial" w:hAnsi="Arial" w:hint="default"/>
      </w:rPr>
    </w:lvl>
    <w:lvl w:ilvl="7" w:tplc="E9C4AF02" w:tentative="1">
      <w:start w:val="1"/>
      <w:numFmt w:val="bullet"/>
      <w:lvlText w:val="•"/>
      <w:lvlJc w:val="left"/>
      <w:pPr>
        <w:tabs>
          <w:tab w:val="num" w:pos="5760"/>
        </w:tabs>
        <w:ind w:left="5760" w:hanging="360"/>
      </w:pPr>
      <w:rPr>
        <w:rFonts w:ascii="Arial" w:hAnsi="Arial" w:hint="default"/>
      </w:rPr>
    </w:lvl>
    <w:lvl w:ilvl="8" w:tplc="6F209C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117FB"/>
    <w:multiLevelType w:val="hybridMultilevel"/>
    <w:tmpl w:val="569CFA0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3D29F6"/>
    <w:multiLevelType w:val="hybridMultilevel"/>
    <w:tmpl w:val="1CF2E4BE"/>
    <w:lvl w:ilvl="0" w:tplc="C85C13FE">
      <w:start w:val="1"/>
      <w:numFmt w:val="bullet"/>
      <w:lvlText w:val="•"/>
      <w:lvlJc w:val="left"/>
      <w:pPr>
        <w:tabs>
          <w:tab w:val="num" w:pos="720"/>
        </w:tabs>
        <w:ind w:left="720" w:hanging="360"/>
      </w:pPr>
      <w:rPr>
        <w:rFonts w:ascii="Arial" w:hAnsi="Arial" w:hint="default"/>
      </w:rPr>
    </w:lvl>
    <w:lvl w:ilvl="1" w:tplc="729C674A">
      <w:numFmt w:val="bullet"/>
      <w:lvlText w:val="•"/>
      <w:lvlJc w:val="left"/>
      <w:pPr>
        <w:tabs>
          <w:tab w:val="num" w:pos="1440"/>
        </w:tabs>
        <w:ind w:left="1440" w:hanging="360"/>
      </w:pPr>
      <w:rPr>
        <w:rFonts w:ascii="Arial" w:hAnsi="Arial" w:hint="default"/>
      </w:rPr>
    </w:lvl>
    <w:lvl w:ilvl="2" w:tplc="11100A00" w:tentative="1">
      <w:start w:val="1"/>
      <w:numFmt w:val="bullet"/>
      <w:lvlText w:val="•"/>
      <w:lvlJc w:val="left"/>
      <w:pPr>
        <w:tabs>
          <w:tab w:val="num" w:pos="2160"/>
        </w:tabs>
        <w:ind w:left="2160" w:hanging="360"/>
      </w:pPr>
      <w:rPr>
        <w:rFonts w:ascii="Arial" w:hAnsi="Arial" w:hint="default"/>
      </w:rPr>
    </w:lvl>
    <w:lvl w:ilvl="3" w:tplc="0FBAB646" w:tentative="1">
      <w:start w:val="1"/>
      <w:numFmt w:val="bullet"/>
      <w:lvlText w:val="•"/>
      <w:lvlJc w:val="left"/>
      <w:pPr>
        <w:tabs>
          <w:tab w:val="num" w:pos="2880"/>
        </w:tabs>
        <w:ind w:left="2880" w:hanging="360"/>
      </w:pPr>
      <w:rPr>
        <w:rFonts w:ascii="Arial" w:hAnsi="Arial" w:hint="default"/>
      </w:rPr>
    </w:lvl>
    <w:lvl w:ilvl="4" w:tplc="4E3810EA" w:tentative="1">
      <w:start w:val="1"/>
      <w:numFmt w:val="bullet"/>
      <w:lvlText w:val="•"/>
      <w:lvlJc w:val="left"/>
      <w:pPr>
        <w:tabs>
          <w:tab w:val="num" w:pos="3600"/>
        </w:tabs>
        <w:ind w:left="3600" w:hanging="360"/>
      </w:pPr>
      <w:rPr>
        <w:rFonts w:ascii="Arial" w:hAnsi="Arial" w:hint="default"/>
      </w:rPr>
    </w:lvl>
    <w:lvl w:ilvl="5" w:tplc="5A04C462" w:tentative="1">
      <w:start w:val="1"/>
      <w:numFmt w:val="bullet"/>
      <w:lvlText w:val="•"/>
      <w:lvlJc w:val="left"/>
      <w:pPr>
        <w:tabs>
          <w:tab w:val="num" w:pos="4320"/>
        </w:tabs>
        <w:ind w:left="4320" w:hanging="360"/>
      </w:pPr>
      <w:rPr>
        <w:rFonts w:ascii="Arial" w:hAnsi="Arial" w:hint="default"/>
      </w:rPr>
    </w:lvl>
    <w:lvl w:ilvl="6" w:tplc="7E3E8E84" w:tentative="1">
      <w:start w:val="1"/>
      <w:numFmt w:val="bullet"/>
      <w:lvlText w:val="•"/>
      <w:lvlJc w:val="left"/>
      <w:pPr>
        <w:tabs>
          <w:tab w:val="num" w:pos="5040"/>
        </w:tabs>
        <w:ind w:left="5040" w:hanging="360"/>
      </w:pPr>
      <w:rPr>
        <w:rFonts w:ascii="Arial" w:hAnsi="Arial" w:hint="default"/>
      </w:rPr>
    </w:lvl>
    <w:lvl w:ilvl="7" w:tplc="09F44D14" w:tentative="1">
      <w:start w:val="1"/>
      <w:numFmt w:val="bullet"/>
      <w:lvlText w:val="•"/>
      <w:lvlJc w:val="left"/>
      <w:pPr>
        <w:tabs>
          <w:tab w:val="num" w:pos="5760"/>
        </w:tabs>
        <w:ind w:left="5760" w:hanging="360"/>
      </w:pPr>
      <w:rPr>
        <w:rFonts w:ascii="Arial" w:hAnsi="Arial" w:hint="default"/>
      </w:rPr>
    </w:lvl>
    <w:lvl w:ilvl="8" w:tplc="9000DF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E3228"/>
    <w:multiLevelType w:val="hybridMultilevel"/>
    <w:tmpl w:val="CAF00F8E"/>
    <w:lvl w:ilvl="0" w:tplc="F7D2E128">
      <w:start w:val="1"/>
      <w:numFmt w:val="bullet"/>
      <w:lvlText w:val="•"/>
      <w:lvlJc w:val="left"/>
      <w:pPr>
        <w:tabs>
          <w:tab w:val="num" w:pos="720"/>
        </w:tabs>
        <w:ind w:left="720" w:hanging="360"/>
      </w:pPr>
      <w:rPr>
        <w:rFonts w:ascii="Arial" w:hAnsi="Arial" w:hint="default"/>
      </w:rPr>
    </w:lvl>
    <w:lvl w:ilvl="1" w:tplc="4E7202B8">
      <w:start w:val="1"/>
      <w:numFmt w:val="bullet"/>
      <w:lvlText w:val="•"/>
      <w:lvlJc w:val="left"/>
      <w:pPr>
        <w:tabs>
          <w:tab w:val="num" w:pos="1440"/>
        </w:tabs>
        <w:ind w:left="1440" w:hanging="360"/>
      </w:pPr>
      <w:rPr>
        <w:rFonts w:ascii="Arial" w:hAnsi="Arial" w:hint="default"/>
      </w:rPr>
    </w:lvl>
    <w:lvl w:ilvl="2" w:tplc="9DF43CCC">
      <w:numFmt w:val="bullet"/>
      <w:lvlText w:val="o"/>
      <w:lvlJc w:val="left"/>
      <w:pPr>
        <w:tabs>
          <w:tab w:val="num" w:pos="2160"/>
        </w:tabs>
        <w:ind w:left="2160" w:hanging="360"/>
      </w:pPr>
      <w:rPr>
        <w:rFonts w:ascii="Courier New" w:hAnsi="Courier New" w:hint="default"/>
      </w:rPr>
    </w:lvl>
    <w:lvl w:ilvl="3" w:tplc="A8D451C4" w:tentative="1">
      <w:start w:val="1"/>
      <w:numFmt w:val="bullet"/>
      <w:lvlText w:val="•"/>
      <w:lvlJc w:val="left"/>
      <w:pPr>
        <w:tabs>
          <w:tab w:val="num" w:pos="2880"/>
        </w:tabs>
        <w:ind w:left="2880" w:hanging="360"/>
      </w:pPr>
      <w:rPr>
        <w:rFonts w:ascii="Arial" w:hAnsi="Arial" w:hint="default"/>
      </w:rPr>
    </w:lvl>
    <w:lvl w:ilvl="4" w:tplc="24367EE2" w:tentative="1">
      <w:start w:val="1"/>
      <w:numFmt w:val="bullet"/>
      <w:lvlText w:val="•"/>
      <w:lvlJc w:val="left"/>
      <w:pPr>
        <w:tabs>
          <w:tab w:val="num" w:pos="3600"/>
        </w:tabs>
        <w:ind w:left="3600" w:hanging="360"/>
      </w:pPr>
      <w:rPr>
        <w:rFonts w:ascii="Arial" w:hAnsi="Arial" w:hint="default"/>
      </w:rPr>
    </w:lvl>
    <w:lvl w:ilvl="5" w:tplc="449C93EE" w:tentative="1">
      <w:start w:val="1"/>
      <w:numFmt w:val="bullet"/>
      <w:lvlText w:val="•"/>
      <w:lvlJc w:val="left"/>
      <w:pPr>
        <w:tabs>
          <w:tab w:val="num" w:pos="4320"/>
        </w:tabs>
        <w:ind w:left="4320" w:hanging="360"/>
      </w:pPr>
      <w:rPr>
        <w:rFonts w:ascii="Arial" w:hAnsi="Arial" w:hint="default"/>
      </w:rPr>
    </w:lvl>
    <w:lvl w:ilvl="6" w:tplc="8D70A6B2" w:tentative="1">
      <w:start w:val="1"/>
      <w:numFmt w:val="bullet"/>
      <w:lvlText w:val="•"/>
      <w:lvlJc w:val="left"/>
      <w:pPr>
        <w:tabs>
          <w:tab w:val="num" w:pos="5040"/>
        </w:tabs>
        <w:ind w:left="5040" w:hanging="360"/>
      </w:pPr>
      <w:rPr>
        <w:rFonts w:ascii="Arial" w:hAnsi="Arial" w:hint="default"/>
      </w:rPr>
    </w:lvl>
    <w:lvl w:ilvl="7" w:tplc="A8E26D3A" w:tentative="1">
      <w:start w:val="1"/>
      <w:numFmt w:val="bullet"/>
      <w:lvlText w:val="•"/>
      <w:lvlJc w:val="left"/>
      <w:pPr>
        <w:tabs>
          <w:tab w:val="num" w:pos="5760"/>
        </w:tabs>
        <w:ind w:left="5760" w:hanging="360"/>
      </w:pPr>
      <w:rPr>
        <w:rFonts w:ascii="Arial" w:hAnsi="Arial" w:hint="default"/>
      </w:rPr>
    </w:lvl>
    <w:lvl w:ilvl="8" w:tplc="D57CA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F2669B"/>
    <w:multiLevelType w:val="hybridMultilevel"/>
    <w:tmpl w:val="4ED0F378"/>
    <w:lvl w:ilvl="0" w:tplc="EFE84ECC">
      <w:start w:val="1"/>
      <w:numFmt w:val="bullet"/>
      <w:lvlText w:val="•"/>
      <w:lvlJc w:val="left"/>
      <w:pPr>
        <w:tabs>
          <w:tab w:val="num" w:pos="720"/>
        </w:tabs>
        <w:ind w:left="720" w:hanging="360"/>
      </w:pPr>
      <w:rPr>
        <w:rFonts w:ascii="Arial" w:hAnsi="Arial" w:hint="default"/>
      </w:rPr>
    </w:lvl>
    <w:lvl w:ilvl="1" w:tplc="4D529AB6" w:tentative="1">
      <w:start w:val="1"/>
      <w:numFmt w:val="bullet"/>
      <w:lvlText w:val="•"/>
      <w:lvlJc w:val="left"/>
      <w:pPr>
        <w:tabs>
          <w:tab w:val="num" w:pos="1440"/>
        </w:tabs>
        <w:ind w:left="1440" w:hanging="360"/>
      </w:pPr>
      <w:rPr>
        <w:rFonts w:ascii="Arial" w:hAnsi="Arial" w:hint="default"/>
      </w:rPr>
    </w:lvl>
    <w:lvl w:ilvl="2" w:tplc="E8FA4C94" w:tentative="1">
      <w:start w:val="1"/>
      <w:numFmt w:val="bullet"/>
      <w:lvlText w:val="•"/>
      <w:lvlJc w:val="left"/>
      <w:pPr>
        <w:tabs>
          <w:tab w:val="num" w:pos="2160"/>
        </w:tabs>
        <w:ind w:left="2160" w:hanging="360"/>
      </w:pPr>
      <w:rPr>
        <w:rFonts w:ascii="Arial" w:hAnsi="Arial" w:hint="default"/>
      </w:rPr>
    </w:lvl>
    <w:lvl w:ilvl="3" w:tplc="18EC5F88" w:tentative="1">
      <w:start w:val="1"/>
      <w:numFmt w:val="bullet"/>
      <w:lvlText w:val="•"/>
      <w:lvlJc w:val="left"/>
      <w:pPr>
        <w:tabs>
          <w:tab w:val="num" w:pos="2880"/>
        </w:tabs>
        <w:ind w:left="2880" w:hanging="360"/>
      </w:pPr>
      <w:rPr>
        <w:rFonts w:ascii="Arial" w:hAnsi="Arial" w:hint="default"/>
      </w:rPr>
    </w:lvl>
    <w:lvl w:ilvl="4" w:tplc="5FC43A7E" w:tentative="1">
      <w:start w:val="1"/>
      <w:numFmt w:val="bullet"/>
      <w:lvlText w:val="•"/>
      <w:lvlJc w:val="left"/>
      <w:pPr>
        <w:tabs>
          <w:tab w:val="num" w:pos="3600"/>
        </w:tabs>
        <w:ind w:left="3600" w:hanging="360"/>
      </w:pPr>
      <w:rPr>
        <w:rFonts w:ascii="Arial" w:hAnsi="Arial" w:hint="default"/>
      </w:rPr>
    </w:lvl>
    <w:lvl w:ilvl="5" w:tplc="5B60EE74" w:tentative="1">
      <w:start w:val="1"/>
      <w:numFmt w:val="bullet"/>
      <w:lvlText w:val="•"/>
      <w:lvlJc w:val="left"/>
      <w:pPr>
        <w:tabs>
          <w:tab w:val="num" w:pos="4320"/>
        </w:tabs>
        <w:ind w:left="4320" w:hanging="360"/>
      </w:pPr>
      <w:rPr>
        <w:rFonts w:ascii="Arial" w:hAnsi="Arial" w:hint="default"/>
      </w:rPr>
    </w:lvl>
    <w:lvl w:ilvl="6" w:tplc="8A9AA48C" w:tentative="1">
      <w:start w:val="1"/>
      <w:numFmt w:val="bullet"/>
      <w:lvlText w:val="•"/>
      <w:lvlJc w:val="left"/>
      <w:pPr>
        <w:tabs>
          <w:tab w:val="num" w:pos="5040"/>
        </w:tabs>
        <w:ind w:left="5040" w:hanging="360"/>
      </w:pPr>
      <w:rPr>
        <w:rFonts w:ascii="Arial" w:hAnsi="Arial" w:hint="default"/>
      </w:rPr>
    </w:lvl>
    <w:lvl w:ilvl="7" w:tplc="20EA2BDC" w:tentative="1">
      <w:start w:val="1"/>
      <w:numFmt w:val="bullet"/>
      <w:lvlText w:val="•"/>
      <w:lvlJc w:val="left"/>
      <w:pPr>
        <w:tabs>
          <w:tab w:val="num" w:pos="5760"/>
        </w:tabs>
        <w:ind w:left="5760" w:hanging="360"/>
      </w:pPr>
      <w:rPr>
        <w:rFonts w:ascii="Arial" w:hAnsi="Arial" w:hint="default"/>
      </w:rPr>
    </w:lvl>
    <w:lvl w:ilvl="8" w:tplc="F190C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7D550A"/>
    <w:multiLevelType w:val="hybridMultilevel"/>
    <w:tmpl w:val="0C823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2550FA"/>
    <w:multiLevelType w:val="hybridMultilevel"/>
    <w:tmpl w:val="B770E920"/>
    <w:lvl w:ilvl="0" w:tplc="FA9E2414">
      <w:start w:val="1"/>
      <w:numFmt w:val="bullet"/>
      <w:lvlText w:val="•"/>
      <w:lvlJc w:val="left"/>
      <w:pPr>
        <w:tabs>
          <w:tab w:val="num" w:pos="720"/>
        </w:tabs>
        <w:ind w:left="720" w:hanging="360"/>
      </w:pPr>
      <w:rPr>
        <w:rFonts w:ascii="Arial" w:hAnsi="Arial" w:hint="default"/>
      </w:rPr>
    </w:lvl>
    <w:lvl w:ilvl="1" w:tplc="6720A2E2">
      <w:numFmt w:val="bullet"/>
      <w:lvlText w:val="o"/>
      <w:lvlJc w:val="left"/>
      <w:pPr>
        <w:tabs>
          <w:tab w:val="num" w:pos="1440"/>
        </w:tabs>
        <w:ind w:left="1440" w:hanging="360"/>
      </w:pPr>
      <w:rPr>
        <w:rFonts w:ascii="Courier New" w:hAnsi="Courier New" w:hint="default"/>
      </w:rPr>
    </w:lvl>
    <w:lvl w:ilvl="2" w:tplc="40EE5C32" w:tentative="1">
      <w:start w:val="1"/>
      <w:numFmt w:val="bullet"/>
      <w:lvlText w:val="•"/>
      <w:lvlJc w:val="left"/>
      <w:pPr>
        <w:tabs>
          <w:tab w:val="num" w:pos="2160"/>
        </w:tabs>
        <w:ind w:left="2160" w:hanging="360"/>
      </w:pPr>
      <w:rPr>
        <w:rFonts w:ascii="Arial" w:hAnsi="Arial" w:hint="default"/>
      </w:rPr>
    </w:lvl>
    <w:lvl w:ilvl="3" w:tplc="43520AD4" w:tentative="1">
      <w:start w:val="1"/>
      <w:numFmt w:val="bullet"/>
      <w:lvlText w:val="•"/>
      <w:lvlJc w:val="left"/>
      <w:pPr>
        <w:tabs>
          <w:tab w:val="num" w:pos="2880"/>
        </w:tabs>
        <w:ind w:left="2880" w:hanging="360"/>
      </w:pPr>
      <w:rPr>
        <w:rFonts w:ascii="Arial" w:hAnsi="Arial" w:hint="default"/>
      </w:rPr>
    </w:lvl>
    <w:lvl w:ilvl="4" w:tplc="BC10648E" w:tentative="1">
      <w:start w:val="1"/>
      <w:numFmt w:val="bullet"/>
      <w:lvlText w:val="•"/>
      <w:lvlJc w:val="left"/>
      <w:pPr>
        <w:tabs>
          <w:tab w:val="num" w:pos="3600"/>
        </w:tabs>
        <w:ind w:left="3600" w:hanging="360"/>
      </w:pPr>
      <w:rPr>
        <w:rFonts w:ascii="Arial" w:hAnsi="Arial" w:hint="default"/>
      </w:rPr>
    </w:lvl>
    <w:lvl w:ilvl="5" w:tplc="3C70F586" w:tentative="1">
      <w:start w:val="1"/>
      <w:numFmt w:val="bullet"/>
      <w:lvlText w:val="•"/>
      <w:lvlJc w:val="left"/>
      <w:pPr>
        <w:tabs>
          <w:tab w:val="num" w:pos="4320"/>
        </w:tabs>
        <w:ind w:left="4320" w:hanging="360"/>
      </w:pPr>
      <w:rPr>
        <w:rFonts w:ascii="Arial" w:hAnsi="Arial" w:hint="default"/>
      </w:rPr>
    </w:lvl>
    <w:lvl w:ilvl="6" w:tplc="CA78EF40" w:tentative="1">
      <w:start w:val="1"/>
      <w:numFmt w:val="bullet"/>
      <w:lvlText w:val="•"/>
      <w:lvlJc w:val="left"/>
      <w:pPr>
        <w:tabs>
          <w:tab w:val="num" w:pos="5040"/>
        </w:tabs>
        <w:ind w:left="5040" w:hanging="360"/>
      </w:pPr>
      <w:rPr>
        <w:rFonts w:ascii="Arial" w:hAnsi="Arial" w:hint="default"/>
      </w:rPr>
    </w:lvl>
    <w:lvl w:ilvl="7" w:tplc="184C6302" w:tentative="1">
      <w:start w:val="1"/>
      <w:numFmt w:val="bullet"/>
      <w:lvlText w:val="•"/>
      <w:lvlJc w:val="left"/>
      <w:pPr>
        <w:tabs>
          <w:tab w:val="num" w:pos="5760"/>
        </w:tabs>
        <w:ind w:left="5760" w:hanging="360"/>
      </w:pPr>
      <w:rPr>
        <w:rFonts w:ascii="Arial" w:hAnsi="Arial" w:hint="default"/>
      </w:rPr>
    </w:lvl>
    <w:lvl w:ilvl="8" w:tplc="BE4C23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07306A"/>
    <w:multiLevelType w:val="hybridMultilevel"/>
    <w:tmpl w:val="33FCC3B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8112DE1"/>
    <w:multiLevelType w:val="hybridMultilevel"/>
    <w:tmpl w:val="B8CE29EA"/>
    <w:lvl w:ilvl="0" w:tplc="77E0652C">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38DD2295"/>
    <w:multiLevelType w:val="hybridMultilevel"/>
    <w:tmpl w:val="D4787762"/>
    <w:lvl w:ilvl="0" w:tplc="8B2A3DAE">
      <w:start w:val="1"/>
      <w:numFmt w:val="bullet"/>
      <w:lvlText w:val="•"/>
      <w:lvlJc w:val="left"/>
      <w:pPr>
        <w:tabs>
          <w:tab w:val="num" w:pos="720"/>
        </w:tabs>
        <w:ind w:left="720" w:hanging="360"/>
      </w:pPr>
      <w:rPr>
        <w:rFonts w:ascii="Arial" w:hAnsi="Arial" w:hint="default"/>
      </w:rPr>
    </w:lvl>
    <w:lvl w:ilvl="1" w:tplc="9662ADAA" w:tentative="1">
      <w:start w:val="1"/>
      <w:numFmt w:val="bullet"/>
      <w:lvlText w:val="•"/>
      <w:lvlJc w:val="left"/>
      <w:pPr>
        <w:tabs>
          <w:tab w:val="num" w:pos="1440"/>
        </w:tabs>
        <w:ind w:left="1440" w:hanging="360"/>
      </w:pPr>
      <w:rPr>
        <w:rFonts w:ascii="Arial" w:hAnsi="Arial" w:hint="default"/>
      </w:rPr>
    </w:lvl>
    <w:lvl w:ilvl="2" w:tplc="E15AFF96" w:tentative="1">
      <w:start w:val="1"/>
      <w:numFmt w:val="bullet"/>
      <w:lvlText w:val="•"/>
      <w:lvlJc w:val="left"/>
      <w:pPr>
        <w:tabs>
          <w:tab w:val="num" w:pos="2160"/>
        </w:tabs>
        <w:ind w:left="2160" w:hanging="360"/>
      </w:pPr>
      <w:rPr>
        <w:rFonts w:ascii="Arial" w:hAnsi="Arial" w:hint="default"/>
      </w:rPr>
    </w:lvl>
    <w:lvl w:ilvl="3" w:tplc="E5AC97B2" w:tentative="1">
      <w:start w:val="1"/>
      <w:numFmt w:val="bullet"/>
      <w:lvlText w:val="•"/>
      <w:lvlJc w:val="left"/>
      <w:pPr>
        <w:tabs>
          <w:tab w:val="num" w:pos="2880"/>
        </w:tabs>
        <w:ind w:left="2880" w:hanging="360"/>
      </w:pPr>
      <w:rPr>
        <w:rFonts w:ascii="Arial" w:hAnsi="Arial" w:hint="default"/>
      </w:rPr>
    </w:lvl>
    <w:lvl w:ilvl="4" w:tplc="0F86D538" w:tentative="1">
      <w:start w:val="1"/>
      <w:numFmt w:val="bullet"/>
      <w:lvlText w:val="•"/>
      <w:lvlJc w:val="left"/>
      <w:pPr>
        <w:tabs>
          <w:tab w:val="num" w:pos="3600"/>
        </w:tabs>
        <w:ind w:left="3600" w:hanging="360"/>
      </w:pPr>
      <w:rPr>
        <w:rFonts w:ascii="Arial" w:hAnsi="Arial" w:hint="default"/>
      </w:rPr>
    </w:lvl>
    <w:lvl w:ilvl="5" w:tplc="4B94EBAE" w:tentative="1">
      <w:start w:val="1"/>
      <w:numFmt w:val="bullet"/>
      <w:lvlText w:val="•"/>
      <w:lvlJc w:val="left"/>
      <w:pPr>
        <w:tabs>
          <w:tab w:val="num" w:pos="4320"/>
        </w:tabs>
        <w:ind w:left="4320" w:hanging="360"/>
      </w:pPr>
      <w:rPr>
        <w:rFonts w:ascii="Arial" w:hAnsi="Arial" w:hint="default"/>
      </w:rPr>
    </w:lvl>
    <w:lvl w:ilvl="6" w:tplc="2A08C182" w:tentative="1">
      <w:start w:val="1"/>
      <w:numFmt w:val="bullet"/>
      <w:lvlText w:val="•"/>
      <w:lvlJc w:val="left"/>
      <w:pPr>
        <w:tabs>
          <w:tab w:val="num" w:pos="5040"/>
        </w:tabs>
        <w:ind w:left="5040" w:hanging="360"/>
      </w:pPr>
      <w:rPr>
        <w:rFonts w:ascii="Arial" w:hAnsi="Arial" w:hint="default"/>
      </w:rPr>
    </w:lvl>
    <w:lvl w:ilvl="7" w:tplc="4F443456" w:tentative="1">
      <w:start w:val="1"/>
      <w:numFmt w:val="bullet"/>
      <w:lvlText w:val="•"/>
      <w:lvlJc w:val="left"/>
      <w:pPr>
        <w:tabs>
          <w:tab w:val="num" w:pos="5760"/>
        </w:tabs>
        <w:ind w:left="5760" w:hanging="360"/>
      </w:pPr>
      <w:rPr>
        <w:rFonts w:ascii="Arial" w:hAnsi="Arial" w:hint="default"/>
      </w:rPr>
    </w:lvl>
    <w:lvl w:ilvl="8" w:tplc="157479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647022"/>
    <w:multiLevelType w:val="multilevel"/>
    <w:tmpl w:val="286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40FDF"/>
    <w:multiLevelType w:val="hybridMultilevel"/>
    <w:tmpl w:val="FE245FF8"/>
    <w:lvl w:ilvl="0" w:tplc="04090001">
      <w:start w:val="1"/>
      <w:numFmt w:val="bullet"/>
      <w:pStyle w:val="ListBullet1inden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356AD4"/>
    <w:multiLevelType w:val="hybridMultilevel"/>
    <w:tmpl w:val="06D8D79C"/>
    <w:lvl w:ilvl="0" w:tplc="77E0652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856ACE"/>
    <w:multiLevelType w:val="hybridMultilevel"/>
    <w:tmpl w:val="7D6E4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31A6D0B"/>
    <w:multiLevelType w:val="hybridMultilevel"/>
    <w:tmpl w:val="FE20C306"/>
    <w:lvl w:ilvl="0" w:tplc="4E00D23C">
      <w:start w:val="1"/>
      <w:numFmt w:val="bullet"/>
      <w:lvlText w:val="•"/>
      <w:lvlJc w:val="left"/>
      <w:pPr>
        <w:tabs>
          <w:tab w:val="num" w:pos="720"/>
        </w:tabs>
        <w:ind w:left="720" w:hanging="360"/>
      </w:pPr>
      <w:rPr>
        <w:rFonts w:ascii="Arial" w:hAnsi="Arial" w:hint="default"/>
      </w:rPr>
    </w:lvl>
    <w:lvl w:ilvl="1" w:tplc="DFE61256" w:tentative="1">
      <w:start w:val="1"/>
      <w:numFmt w:val="bullet"/>
      <w:lvlText w:val="•"/>
      <w:lvlJc w:val="left"/>
      <w:pPr>
        <w:tabs>
          <w:tab w:val="num" w:pos="1440"/>
        </w:tabs>
        <w:ind w:left="1440" w:hanging="360"/>
      </w:pPr>
      <w:rPr>
        <w:rFonts w:ascii="Arial" w:hAnsi="Arial" w:hint="default"/>
      </w:rPr>
    </w:lvl>
    <w:lvl w:ilvl="2" w:tplc="DF3205AA" w:tentative="1">
      <w:start w:val="1"/>
      <w:numFmt w:val="bullet"/>
      <w:lvlText w:val="•"/>
      <w:lvlJc w:val="left"/>
      <w:pPr>
        <w:tabs>
          <w:tab w:val="num" w:pos="2160"/>
        </w:tabs>
        <w:ind w:left="2160" w:hanging="360"/>
      </w:pPr>
      <w:rPr>
        <w:rFonts w:ascii="Arial" w:hAnsi="Arial" w:hint="default"/>
      </w:rPr>
    </w:lvl>
    <w:lvl w:ilvl="3" w:tplc="CD8035EC" w:tentative="1">
      <w:start w:val="1"/>
      <w:numFmt w:val="bullet"/>
      <w:lvlText w:val="•"/>
      <w:lvlJc w:val="left"/>
      <w:pPr>
        <w:tabs>
          <w:tab w:val="num" w:pos="2880"/>
        </w:tabs>
        <w:ind w:left="2880" w:hanging="360"/>
      </w:pPr>
      <w:rPr>
        <w:rFonts w:ascii="Arial" w:hAnsi="Arial" w:hint="default"/>
      </w:rPr>
    </w:lvl>
    <w:lvl w:ilvl="4" w:tplc="2A2405F8" w:tentative="1">
      <w:start w:val="1"/>
      <w:numFmt w:val="bullet"/>
      <w:lvlText w:val="•"/>
      <w:lvlJc w:val="left"/>
      <w:pPr>
        <w:tabs>
          <w:tab w:val="num" w:pos="3600"/>
        </w:tabs>
        <w:ind w:left="3600" w:hanging="360"/>
      </w:pPr>
      <w:rPr>
        <w:rFonts w:ascii="Arial" w:hAnsi="Arial" w:hint="default"/>
      </w:rPr>
    </w:lvl>
    <w:lvl w:ilvl="5" w:tplc="51FC8972" w:tentative="1">
      <w:start w:val="1"/>
      <w:numFmt w:val="bullet"/>
      <w:lvlText w:val="•"/>
      <w:lvlJc w:val="left"/>
      <w:pPr>
        <w:tabs>
          <w:tab w:val="num" w:pos="4320"/>
        </w:tabs>
        <w:ind w:left="4320" w:hanging="360"/>
      </w:pPr>
      <w:rPr>
        <w:rFonts w:ascii="Arial" w:hAnsi="Arial" w:hint="default"/>
      </w:rPr>
    </w:lvl>
    <w:lvl w:ilvl="6" w:tplc="7FF45248" w:tentative="1">
      <w:start w:val="1"/>
      <w:numFmt w:val="bullet"/>
      <w:lvlText w:val="•"/>
      <w:lvlJc w:val="left"/>
      <w:pPr>
        <w:tabs>
          <w:tab w:val="num" w:pos="5040"/>
        </w:tabs>
        <w:ind w:left="5040" w:hanging="360"/>
      </w:pPr>
      <w:rPr>
        <w:rFonts w:ascii="Arial" w:hAnsi="Arial" w:hint="default"/>
      </w:rPr>
    </w:lvl>
    <w:lvl w:ilvl="7" w:tplc="FD30C75A" w:tentative="1">
      <w:start w:val="1"/>
      <w:numFmt w:val="bullet"/>
      <w:lvlText w:val="•"/>
      <w:lvlJc w:val="left"/>
      <w:pPr>
        <w:tabs>
          <w:tab w:val="num" w:pos="5760"/>
        </w:tabs>
        <w:ind w:left="5760" w:hanging="360"/>
      </w:pPr>
      <w:rPr>
        <w:rFonts w:ascii="Arial" w:hAnsi="Arial" w:hint="default"/>
      </w:rPr>
    </w:lvl>
    <w:lvl w:ilvl="8" w:tplc="44E2EA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6E4778"/>
    <w:multiLevelType w:val="hybridMultilevel"/>
    <w:tmpl w:val="11D8CD7E"/>
    <w:lvl w:ilvl="0" w:tplc="D10EC648">
      <w:start w:val="1"/>
      <w:numFmt w:val="bullet"/>
      <w:lvlText w:val="•"/>
      <w:lvlJc w:val="left"/>
      <w:pPr>
        <w:tabs>
          <w:tab w:val="num" w:pos="720"/>
        </w:tabs>
        <w:ind w:left="720" w:hanging="360"/>
      </w:pPr>
      <w:rPr>
        <w:rFonts w:ascii="Arial" w:hAnsi="Arial" w:hint="default"/>
      </w:rPr>
    </w:lvl>
    <w:lvl w:ilvl="1" w:tplc="67742540">
      <w:numFmt w:val="bullet"/>
      <w:lvlText w:val="•"/>
      <w:lvlJc w:val="left"/>
      <w:pPr>
        <w:tabs>
          <w:tab w:val="num" w:pos="1440"/>
        </w:tabs>
        <w:ind w:left="1440" w:hanging="360"/>
      </w:pPr>
      <w:rPr>
        <w:rFonts w:ascii="Arial" w:hAnsi="Arial" w:hint="default"/>
      </w:rPr>
    </w:lvl>
    <w:lvl w:ilvl="2" w:tplc="59C66FAC" w:tentative="1">
      <w:start w:val="1"/>
      <w:numFmt w:val="bullet"/>
      <w:lvlText w:val="•"/>
      <w:lvlJc w:val="left"/>
      <w:pPr>
        <w:tabs>
          <w:tab w:val="num" w:pos="2160"/>
        </w:tabs>
        <w:ind w:left="2160" w:hanging="360"/>
      </w:pPr>
      <w:rPr>
        <w:rFonts w:ascii="Arial" w:hAnsi="Arial" w:hint="default"/>
      </w:rPr>
    </w:lvl>
    <w:lvl w:ilvl="3" w:tplc="86D4DB4A" w:tentative="1">
      <w:start w:val="1"/>
      <w:numFmt w:val="bullet"/>
      <w:lvlText w:val="•"/>
      <w:lvlJc w:val="left"/>
      <w:pPr>
        <w:tabs>
          <w:tab w:val="num" w:pos="2880"/>
        </w:tabs>
        <w:ind w:left="2880" w:hanging="360"/>
      </w:pPr>
      <w:rPr>
        <w:rFonts w:ascii="Arial" w:hAnsi="Arial" w:hint="default"/>
      </w:rPr>
    </w:lvl>
    <w:lvl w:ilvl="4" w:tplc="4344E022" w:tentative="1">
      <w:start w:val="1"/>
      <w:numFmt w:val="bullet"/>
      <w:lvlText w:val="•"/>
      <w:lvlJc w:val="left"/>
      <w:pPr>
        <w:tabs>
          <w:tab w:val="num" w:pos="3600"/>
        </w:tabs>
        <w:ind w:left="3600" w:hanging="360"/>
      </w:pPr>
      <w:rPr>
        <w:rFonts w:ascii="Arial" w:hAnsi="Arial" w:hint="default"/>
      </w:rPr>
    </w:lvl>
    <w:lvl w:ilvl="5" w:tplc="12CEB866" w:tentative="1">
      <w:start w:val="1"/>
      <w:numFmt w:val="bullet"/>
      <w:lvlText w:val="•"/>
      <w:lvlJc w:val="left"/>
      <w:pPr>
        <w:tabs>
          <w:tab w:val="num" w:pos="4320"/>
        </w:tabs>
        <w:ind w:left="4320" w:hanging="360"/>
      </w:pPr>
      <w:rPr>
        <w:rFonts w:ascii="Arial" w:hAnsi="Arial" w:hint="default"/>
      </w:rPr>
    </w:lvl>
    <w:lvl w:ilvl="6" w:tplc="B77ED9FC" w:tentative="1">
      <w:start w:val="1"/>
      <w:numFmt w:val="bullet"/>
      <w:lvlText w:val="•"/>
      <w:lvlJc w:val="left"/>
      <w:pPr>
        <w:tabs>
          <w:tab w:val="num" w:pos="5040"/>
        </w:tabs>
        <w:ind w:left="5040" w:hanging="360"/>
      </w:pPr>
      <w:rPr>
        <w:rFonts w:ascii="Arial" w:hAnsi="Arial" w:hint="default"/>
      </w:rPr>
    </w:lvl>
    <w:lvl w:ilvl="7" w:tplc="12EC3634" w:tentative="1">
      <w:start w:val="1"/>
      <w:numFmt w:val="bullet"/>
      <w:lvlText w:val="•"/>
      <w:lvlJc w:val="left"/>
      <w:pPr>
        <w:tabs>
          <w:tab w:val="num" w:pos="5760"/>
        </w:tabs>
        <w:ind w:left="5760" w:hanging="360"/>
      </w:pPr>
      <w:rPr>
        <w:rFonts w:ascii="Arial" w:hAnsi="Arial" w:hint="default"/>
      </w:rPr>
    </w:lvl>
    <w:lvl w:ilvl="8" w:tplc="C2C816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4878D2"/>
    <w:multiLevelType w:val="multilevel"/>
    <w:tmpl w:val="AD7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A6A0B"/>
    <w:multiLevelType w:val="hybridMultilevel"/>
    <w:tmpl w:val="FED4C1E0"/>
    <w:lvl w:ilvl="0" w:tplc="04090001">
      <w:start w:val="1"/>
      <w:numFmt w:val="bullet"/>
      <w:lvlText w:val=""/>
      <w:lvlJc w:val="left"/>
      <w:pPr>
        <w:ind w:left="836" w:hanging="360"/>
      </w:pPr>
      <w:rPr>
        <w:rFonts w:ascii="Symbol" w:hAnsi="Symbol" w:cs="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cs="Wingdings" w:hint="default"/>
      </w:rPr>
    </w:lvl>
    <w:lvl w:ilvl="3" w:tplc="04090001" w:tentative="1">
      <w:start w:val="1"/>
      <w:numFmt w:val="bullet"/>
      <w:lvlText w:val=""/>
      <w:lvlJc w:val="left"/>
      <w:pPr>
        <w:ind w:left="2996" w:hanging="360"/>
      </w:pPr>
      <w:rPr>
        <w:rFonts w:ascii="Symbol" w:hAnsi="Symbol" w:cs="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cs="Wingdings" w:hint="default"/>
      </w:rPr>
    </w:lvl>
    <w:lvl w:ilvl="6" w:tplc="04090001" w:tentative="1">
      <w:start w:val="1"/>
      <w:numFmt w:val="bullet"/>
      <w:lvlText w:val=""/>
      <w:lvlJc w:val="left"/>
      <w:pPr>
        <w:ind w:left="5156" w:hanging="360"/>
      </w:pPr>
      <w:rPr>
        <w:rFonts w:ascii="Symbol" w:hAnsi="Symbol" w:cs="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cs="Wingdings" w:hint="default"/>
      </w:rPr>
    </w:lvl>
  </w:abstractNum>
  <w:abstractNum w:abstractNumId="20" w15:restartNumberingAfterBreak="0">
    <w:nsid w:val="526662AC"/>
    <w:multiLevelType w:val="hybridMultilevel"/>
    <w:tmpl w:val="64D49610"/>
    <w:lvl w:ilvl="0" w:tplc="4A8679F2">
      <w:start w:val="1"/>
      <w:numFmt w:val="bullet"/>
      <w:lvlText w:val="•"/>
      <w:lvlJc w:val="left"/>
      <w:pPr>
        <w:tabs>
          <w:tab w:val="num" w:pos="720"/>
        </w:tabs>
        <w:ind w:left="720" w:hanging="360"/>
      </w:pPr>
      <w:rPr>
        <w:rFonts w:ascii="Arial" w:hAnsi="Arial" w:hint="default"/>
      </w:rPr>
    </w:lvl>
    <w:lvl w:ilvl="1" w:tplc="9DBEFD9E">
      <w:numFmt w:val="bullet"/>
      <w:lvlText w:val="•"/>
      <w:lvlJc w:val="left"/>
      <w:pPr>
        <w:tabs>
          <w:tab w:val="num" w:pos="1440"/>
        </w:tabs>
        <w:ind w:left="1440" w:hanging="360"/>
      </w:pPr>
      <w:rPr>
        <w:rFonts w:ascii="Arial" w:hAnsi="Arial" w:hint="default"/>
      </w:rPr>
    </w:lvl>
    <w:lvl w:ilvl="2" w:tplc="3F4E1A22" w:tentative="1">
      <w:start w:val="1"/>
      <w:numFmt w:val="bullet"/>
      <w:lvlText w:val="•"/>
      <w:lvlJc w:val="left"/>
      <w:pPr>
        <w:tabs>
          <w:tab w:val="num" w:pos="2160"/>
        </w:tabs>
        <w:ind w:left="2160" w:hanging="360"/>
      </w:pPr>
      <w:rPr>
        <w:rFonts w:ascii="Arial" w:hAnsi="Arial" w:hint="default"/>
      </w:rPr>
    </w:lvl>
    <w:lvl w:ilvl="3" w:tplc="F3F465DC" w:tentative="1">
      <w:start w:val="1"/>
      <w:numFmt w:val="bullet"/>
      <w:lvlText w:val="•"/>
      <w:lvlJc w:val="left"/>
      <w:pPr>
        <w:tabs>
          <w:tab w:val="num" w:pos="2880"/>
        </w:tabs>
        <w:ind w:left="2880" w:hanging="360"/>
      </w:pPr>
      <w:rPr>
        <w:rFonts w:ascii="Arial" w:hAnsi="Arial" w:hint="default"/>
      </w:rPr>
    </w:lvl>
    <w:lvl w:ilvl="4" w:tplc="2B5003B4" w:tentative="1">
      <w:start w:val="1"/>
      <w:numFmt w:val="bullet"/>
      <w:lvlText w:val="•"/>
      <w:lvlJc w:val="left"/>
      <w:pPr>
        <w:tabs>
          <w:tab w:val="num" w:pos="3600"/>
        </w:tabs>
        <w:ind w:left="3600" w:hanging="360"/>
      </w:pPr>
      <w:rPr>
        <w:rFonts w:ascii="Arial" w:hAnsi="Arial" w:hint="default"/>
      </w:rPr>
    </w:lvl>
    <w:lvl w:ilvl="5" w:tplc="8BDAA4AA" w:tentative="1">
      <w:start w:val="1"/>
      <w:numFmt w:val="bullet"/>
      <w:lvlText w:val="•"/>
      <w:lvlJc w:val="left"/>
      <w:pPr>
        <w:tabs>
          <w:tab w:val="num" w:pos="4320"/>
        </w:tabs>
        <w:ind w:left="4320" w:hanging="360"/>
      </w:pPr>
      <w:rPr>
        <w:rFonts w:ascii="Arial" w:hAnsi="Arial" w:hint="default"/>
      </w:rPr>
    </w:lvl>
    <w:lvl w:ilvl="6" w:tplc="9F065966" w:tentative="1">
      <w:start w:val="1"/>
      <w:numFmt w:val="bullet"/>
      <w:lvlText w:val="•"/>
      <w:lvlJc w:val="left"/>
      <w:pPr>
        <w:tabs>
          <w:tab w:val="num" w:pos="5040"/>
        </w:tabs>
        <w:ind w:left="5040" w:hanging="360"/>
      </w:pPr>
      <w:rPr>
        <w:rFonts w:ascii="Arial" w:hAnsi="Arial" w:hint="default"/>
      </w:rPr>
    </w:lvl>
    <w:lvl w:ilvl="7" w:tplc="28A6D284" w:tentative="1">
      <w:start w:val="1"/>
      <w:numFmt w:val="bullet"/>
      <w:lvlText w:val="•"/>
      <w:lvlJc w:val="left"/>
      <w:pPr>
        <w:tabs>
          <w:tab w:val="num" w:pos="5760"/>
        </w:tabs>
        <w:ind w:left="5760" w:hanging="360"/>
      </w:pPr>
      <w:rPr>
        <w:rFonts w:ascii="Arial" w:hAnsi="Arial" w:hint="default"/>
      </w:rPr>
    </w:lvl>
    <w:lvl w:ilvl="8" w:tplc="B5761A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B02165"/>
    <w:multiLevelType w:val="hybridMultilevel"/>
    <w:tmpl w:val="75FE05F6"/>
    <w:lvl w:ilvl="0" w:tplc="AE1604D0">
      <w:start w:val="1"/>
      <w:numFmt w:val="bullet"/>
      <w:lvlText w:val="•"/>
      <w:lvlJc w:val="left"/>
      <w:pPr>
        <w:tabs>
          <w:tab w:val="num" w:pos="720"/>
        </w:tabs>
        <w:ind w:left="720" w:hanging="360"/>
      </w:pPr>
      <w:rPr>
        <w:rFonts w:ascii="Arial" w:hAnsi="Arial" w:cs="Times New Roman" w:hint="default"/>
      </w:rPr>
    </w:lvl>
    <w:lvl w:ilvl="1" w:tplc="13224542">
      <w:start w:val="1"/>
      <w:numFmt w:val="bullet"/>
      <w:lvlText w:val="•"/>
      <w:lvlJc w:val="left"/>
      <w:pPr>
        <w:tabs>
          <w:tab w:val="num" w:pos="1440"/>
        </w:tabs>
        <w:ind w:left="1440" w:hanging="360"/>
      </w:pPr>
      <w:rPr>
        <w:rFonts w:ascii="Arial" w:hAnsi="Arial" w:cs="Times New Roman"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66BD2D4C"/>
    <w:multiLevelType w:val="hybridMultilevel"/>
    <w:tmpl w:val="F24602F6"/>
    <w:lvl w:ilvl="0" w:tplc="DAFC9BCA">
      <w:start w:val="1"/>
      <w:numFmt w:val="bullet"/>
      <w:lvlText w:val="•"/>
      <w:lvlJc w:val="left"/>
      <w:pPr>
        <w:tabs>
          <w:tab w:val="num" w:pos="720"/>
        </w:tabs>
        <w:ind w:left="720" w:hanging="360"/>
      </w:pPr>
      <w:rPr>
        <w:rFonts w:ascii="Arial" w:hAnsi="Arial" w:hint="default"/>
      </w:rPr>
    </w:lvl>
    <w:lvl w:ilvl="1" w:tplc="33743142" w:tentative="1">
      <w:start w:val="1"/>
      <w:numFmt w:val="bullet"/>
      <w:lvlText w:val="•"/>
      <w:lvlJc w:val="left"/>
      <w:pPr>
        <w:tabs>
          <w:tab w:val="num" w:pos="1440"/>
        </w:tabs>
        <w:ind w:left="1440" w:hanging="360"/>
      </w:pPr>
      <w:rPr>
        <w:rFonts w:ascii="Arial" w:hAnsi="Arial" w:hint="default"/>
      </w:rPr>
    </w:lvl>
    <w:lvl w:ilvl="2" w:tplc="0C3E29D8" w:tentative="1">
      <w:start w:val="1"/>
      <w:numFmt w:val="bullet"/>
      <w:lvlText w:val="•"/>
      <w:lvlJc w:val="left"/>
      <w:pPr>
        <w:tabs>
          <w:tab w:val="num" w:pos="2160"/>
        </w:tabs>
        <w:ind w:left="2160" w:hanging="360"/>
      </w:pPr>
      <w:rPr>
        <w:rFonts w:ascii="Arial" w:hAnsi="Arial" w:hint="default"/>
      </w:rPr>
    </w:lvl>
    <w:lvl w:ilvl="3" w:tplc="B82AD37C" w:tentative="1">
      <w:start w:val="1"/>
      <w:numFmt w:val="bullet"/>
      <w:lvlText w:val="•"/>
      <w:lvlJc w:val="left"/>
      <w:pPr>
        <w:tabs>
          <w:tab w:val="num" w:pos="2880"/>
        </w:tabs>
        <w:ind w:left="2880" w:hanging="360"/>
      </w:pPr>
      <w:rPr>
        <w:rFonts w:ascii="Arial" w:hAnsi="Arial" w:hint="default"/>
      </w:rPr>
    </w:lvl>
    <w:lvl w:ilvl="4" w:tplc="E0B2A210" w:tentative="1">
      <w:start w:val="1"/>
      <w:numFmt w:val="bullet"/>
      <w:lvlText w:val="•"/>
      <w:lvlJc w:val="left"/>
      <w:pPr>
        <w:tabs>
          <w:tab w:val="num" w:pos="3600"/>
        </w:tabs>
        <w:ind w:left="3600" w:hanging="360"/>
      </w:pPr>
      <w:rPr>
        <w:rFonts w:ascii="Arial" w:hAnsi="Arial" w:hint="default"/>
      </w:rPr>
    </w:lvl>
    <w:lvl w:ilvl="5" w:tplc="A6A6D3BC" w:tentative="1">
      <w:start w:val="1"/>
      <w:numFmt w:val="bullet"/>
      <w:lvlText w:val="•"/>
      <w:lvlJc w:val="left"/>
      <w:pPr>
        <w:tabs>
          <w:tab w:val="num" w:pos="4320"/>
        </w:tabs>
        <w:ind w:left="4320" w:hanging="360"/>
      </w:pPr>
      <w:rPr>
        <w:rFonts w:ascii="Arial" w:hAnsi="Arial" w:hint="default"/>
      </w:rPr>
    </w:lvl>
    <w:lvl w:ilvl="6" w:tplc="4A94862C" w:tentative="1">
      <w:start w:val="1"/>
      <w:numFmt w:val="bullet"/>
      <w:lvlText w:val="•"/>
      <w:lvlJc w:val="left"/>
      <w:pPr>
        <w:tabs>
          <w:tab w:val="num" w:pos="5040"/>
        </w:tabs>
        <w:ind w:left="5040" w:hanging="360"/>
      </w:pPr>
      <w:rPr>
        <w:rFonts w:ascii="Arial" w:hAnsi="Arial" w:hint="default"/>
      </w:rPr>
    </w:lvl>
    <w:lvl w:ilvl="7" w:tplc="EA58CEDE" w:tentative="1">
      <w:start w:val="1"/>
      <w:numFmt w:val="bullet"/>
      <w:lvlText w:val="•"/>
      <w:lvlJc w:val="left"/>
      <w:pPr>
        <w:tabs>
          <w:tab w:val="num" w:pos="5760"/>
        </w:tabs>
        <w:ind w:left="5760" w:hanging="360"/>
      </w:pPr>
      <w:rPr>
        <w:rFonts w:ascii="Arial" w:hAnsi="Arial" w:hint="default"/>
      </w:rPr>
    </w:lvl>
    <w:lvl w:ilvl="8" w:tplc="B6A8E4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A45D8A"/>
    <w:multiLevelType w:val="hybridMultilevel"/>
    <w:tmpl w:val="5F14F104"/>
    <w:lvl w:ilvl="0" w:tplc="CE5E9434">
      <w:start w:val="1"/>
      <w:numFmt w:val="bullet"/>
      <w:lvlText w:val=" "/>
      <w:lvlJc w:val="left"/>
      <w:pPr>
        <w:tabs>
          <w:tab w:val="num" w:pos="720"/>
        </w:tabs>
        <w:ind w:left="720" w:hanging="360"/>
      </w:pPr>
      <w:rPr>
        <w:rFonts w:ascii="Calibri" w:hAnsi="Calibri" w:hint="default"/>
      </w:rPr>
    </w:lvl>
    <w:lvl w:ilvl="1" w:tplc="380EECBE" w:tentative="1">
      <w:start w:val="1"/>
      <w:numFmt w:val="bullet"/>
      <w:lvlText w:val=" "/>
      <w:lvlJc w:val="left"/>
      <w:pPr>
        <w:tabs>
          <w:tab w:val="num" w:pos="1440"/>
        </w:tabs>
        <w:ind w:left="1440" w:hanging="360"/>
      </w:pPr>
      <w:rPr>
        <w:rFonts w:ascii="Calibri" w:hAnsi="Calibri" w:hint="default"/>
      </w:rPr>
    </w:lvl>
    <w:lvl w:ilvl="2" w:tplc="DB7004B2" w:tentative="1">
      <w:start w:val="1"/>
      <w:numFmt w:val="bullet"/>
      <w:lvlText w:val=" "/>
      <w:lvlJc w:val="left"/>
      <w:pPr>
        <w:tabs>
          <w:tab w:val="num" w:pos="2160"/>
        </w:tabs>
        <w:ind w:left="2160" w:hanging="360"/>
      </w:pPr>
      <w:rPr>
        <w:rFonts w:ascii="Calibri" w:hAnsi="Calibri" w:hint="default"/>
      </w:rPr>
    </w:lvl>
    <w:lvl w:ilvl="3" w:tplc="89006176" w:tentative="1">
      <w:start w:val="1"/>
      <w:numFmt w:val="bullet"/>
      <w:lvlText w:val=" "/>
      <w:lvlJc w:val="left"/>
      <w:pPr>
        <w:tabs>
          <w:tab w:val="num" w:pos="2880"/>
        </w:tabs>
        <w:ind w:left="2880" w:hanging="360"/>
      </w:pPr>
      <w:rPr>
        <w:rFonts w:ascii="Calibri" w:hAnsi="Calibri" w:hint="default"/>
      </w:rPr>
    </w:lvl>
    <w:lvl w:ilvl="4" w:tplc="7AFA6552" w:tentative="1">
      <w:start w:val="1"/>
      <w:numFmt w:val="bullet"/>
      <w:lvlText w:val=" "/>
      <w:lvlJc w:val="left"/>
      <w:pPr>
        <w:tabs>
          <w:tab w:val="num" w:pos="3600"/>
        </w:tabs>
        <w:ind w:left="3600" w:hanging="360"/>
      </w:pPr>
      <w:rPr>
        <w:rFonts w:ascii="Calibri" w:hAnsi="Calibri" w:hint="default"/>
      </w:rPr>
    </w:lvl>
    <w:lvl w:ilvl="5" w:tplc="51162A02" w:tentative="1">
      <w:start w:val="1"/>
      <w:numFmt w:val="bullet"/>
      <w:lvlText w:val=" "/>
      <w:lvlJc w:val="left"/>
      <w:pPr>
        <w:tabs>
          <w:tab w:val="num" w:pos="4320"/>
        </w:tabs>
        <w:ind w:left="4320" w:hanging="360"/>
      </w:pPr>
      <w:rPr>
        <w:rFonts w:ascii="Calibri" w:hAnsi="Calibri" w:hint="default"/>
      </w:rPr>
    </w:lvl>
    <w:lvl w:ilvl="6" w:tplc="F1C47852" w:tentative="1">
      <w:start w:val="1"/>
      <w:numFmt w:val="bullet"/>
      <w:lvlText w:val=" "/>
      <w:lvlJc w:val="left"/>
      <w:pPr>
        <w:tabs>
          <w:tab w:val="num" w:pos="5040"/>
        </w:tabs>
        <w:ind w:left="5040" w:hanging="360"/>
      </w:pPr>
      <w:rPr>
        <w:rFonts w:ascii="Calibri" w:hAnsi="Calibri" w:hint="default"/>
      </w:rPr>
    </w:lvl>
    <w:lvl w:ilvl="7" w:tplc="480E8FD4" w:tentative="1">
      <w:start w:val="1"/>
      <w:numFmt w:val="bullet"/>
      <w:lvlText w:val=" "/>
      <w:lvlJc w:val="left"/>
      <w:pPr>
        <w:tabs>
          <w:tab w:val="num" w:pos="5760"/>
        </w:tabs>
        <w:ind w:left="5760" w:hanging="360"/>
      </w:pPr>
      <w:rPr>
        <w:rFonts w:ascii="Calibri" w:hAnsi="Calibri" w:hint="default"/>
      </w:rPr>
    </w:lvl>
    <w:lvl w:ilvl="8" w:tplc="2B4A17E8"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67AD1E48"/>
    <w:multiLevelType w:val="hybridMultilevel"/>
    <w:tmpl w:val="D504B1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87572F"/>
    <w:multiLevelType w:val="multilevel"/>
    <w:tmpl w:val="D3E2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832E0B"/>
    <w:multiLevelType w:val="multilevel"/>
    <w:tmpl w:val="374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5374EE"/>
    <w:multiLevelType w:val="hybridMultilevel"/>
    <w:tmpl w:val="42AA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424D1"/>
    <w:multiLevelType w:val="hybridMultilevel"/>
    <w:tmpl w:val="5DBE96C6"/>
    <w:lvl w:ilvl="0" w:tplc="04090001">
      <w:start w:val="1"/>
      <w:numFmt w:val="bullet"/>
      <w:pStyle w:val="ListBullet2Indent2"/>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6D05180"/>
    <w:multiLevelType w:val="hybridMultilevel"/>
    <w:tmpl w:val="6A20D058"/>
    <w:lvl w:ilvl="0" w:tplc="0409000F">
      <w:start w:val="1"/>
      <w:numFmt w:val="decimal"/>
      <w:lvlText w:val="%1."/>
      <w:lvlJc w:val="left"/>
      <w:pPr>
        <w:ind w:left="720" w:hanging="360"/>
      </w:pPr>
      <w:rPr>
        <w:rFonts w:hint="default"/>
      </w:rPr>
    </w:lvl>
    <w:lvl w:ilvl="1" w:tplc="665436F4">
      <w:numFmt w:val="bullet"/>
      <w:lvlText w:val="•"/>
      <w:lvlJc w:val="left"/>
      <w:pPr>
        <w:tabs>
          <w:tab w:val="num" w:pos="1440"/>
        </w:tabs>
        <w:ind w:left="1440" w:hanging="360"/>
      </w:pPr>
      <w:rPr>
        <w:rFonts w:ascii="Arial" w:hAnsi="Arial" w:hint="default"/>
      </w:rPr>
    </w:lvl>
    <w:lvl w:ilvl="2" w:tplc="907C6530" w:tentative="1">
      <w:start w:val="1"/>
      <w:numFmt w:val="bullet"/>
      <w:lvlText w:val="•"/>
      <w:lvlJc w:val="left"/>
      <w:pPr>
        <w:tabs>
          <w:tab w:val="num" w:pos="2160"/>
        </w:tabs>
        <w:ind w:left="2160" w:hanging="360"/>
      </w:pPr>
      <w:rPr>
        <w:rFonts w:ascii="Arial" w:hAnsi="Arial" w:hint="default"/>
      </w:rPr>
    </w:lvl>
    <w:lvl w:ilvl="3" w:tplc="6CE2A346" w:tentative="1">
      <w:start w:val="1"/>
      <w:numFmt w:val="bullet"/>
      <w:lvlText w:val="•"/>
      <w:lvlJc w:val="left"/>
      <w:pPr>
        <w:tabs>
          <w:tab w:val="num" w:pos="2880"/>
        </w:tabs>
        <w:ind w:left="2880" w:hanging="360"/>
      </w:pPr>
      <w:rPr>
        <w:rFonts w:ascii="Arial" w:hAnsi="Arial" w:hint="default"/>
      </w:rPr>
    </w:lvl>
    <w:lvl w:ilvl="4" w:tplc="1C4CE156" w:tentative="1">
      <w:start w:val="1"/>
      <w:numFmt w:val="bullet"/>
      <w:lvlText w:val="•"/>
      <w:lvlJc w:val="left"/>
      <w:pPr>
        <w:tabs>
          <w:tab w:val="num" w:pos="3600"/>
        </w:tabs>
        <w:ind w:left="3600" w:hanging="360"/>
      </w:pPr>
      <w:rPr>
        <w:rFonts w:ascii="Arial" w:hAnsi="Arial" w:hint="default"/>
      </w:rPr>
    </w:lvl>
    <w:lvl w:ilvl="5" w:tplc="1B7A9EFC" w:tentative="1">
      <w:start w:val="1"/>
      <w:numFmt w:val="bullet"/>
      <w:lvlText w:val="•"/>
      <w:lvlJc w:val="left"/>
      <w:pPr>
        <w:tabs>
          <w:tab w:val="num" w:pos="4320"/>
        </w:tabs>
        <w:ind w:left="4320" w:hanging="360"/>
      </w:pPr>
      <w:rPr>
        <w:rFonts w:ascii="Arial" w:hAnsi="Arial" w:hint="default"/>
      </w:rPr>
    </w:lvl>
    <w:lvl w:ilvl="6" w:tplc="9506786E" w:tentative="1">
      <w:start w:val="1"/>
      <w:numFmt w:val="bullet"/>
      <w:lvlText w:val="•"/>
      <w:lvlJc w:val="left"/>
      <w:pPr>
        <w:tabs>
          <w:tab w:val="num" w:pos="5040"/>
        </w:tabs>
        <w:ind w:left="5040" w:hanging="360"/>
      </w:pPr>
      <w:rPr>
        <w:rFonts w:ascii="Arial" w:hAnsi="Arial" w:hint="default"/>
      </w:rPr>
    </w:lvl>
    <w:lvl w:ilvl="7" w:tplc="7C7AFB0C" w:tentative="1">
      <w:start w:val="1"/>
      <w:numFmt w:val="bullet"/>
      <w:lvlText w:val="•"/>
      <w:lvlJc w:val="left"/>
      <w:pPr>
        <w:tabs>
          <w:tab w:val="num" w:pos="5760"/>
        </w:tabs>
        <w:ind w:left="5760" w:hanging="360"/>
      </w:pPr>
      <w:rPr>
        <w:rFonts w:ascii="Arial" w:hAnsi="Arial" w:hint="default"/>
      </w:rPr>
    </w:lvl>
    <w:lvl w:ilvl="8" w:tplc="99840B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AC3BB5"/>
    <w:multiLevelType w:val="hybridMultilevel"/>
    <w:tmpl w:val="832E1FB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349E2"/>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B00FB"/>
    <w:multiLevelType w:val="hybridMultilevel"/>
    <w:tmpl w:val="89DEAA58"/>
    <w:lvl w:ilvl="0" w:tplc="751AEE9A">
      <w:start w:val="1"/>
      <w:numFmt w:val="bullet"/>
      <w:lvlText w:val="•"/>
      <w:lvlJc w:val="left"/>
      <w:pPr>
        <w:tabs>
          <w:tab w:val="num" w:pos="720"/>
        </w:tabs>
        <w:ind w:left="720" w:hanging="360"/>
      </w:pPr>
      <w:rPr>
        <w:rFonts w:ascii="Arial" w:hAnsi="Arial" w:hint="default"/>
      </w:rPr>
    </w:lvl>
    <w:lvl w:ilvl="1" w:tplc="12C2EF38" w:tentative="1">
      <w:start w:val="1"/>
      <w:numFmt w:val="bullet"/>
      <w:lvlText w:val="•"/>
      <w:lvlJc w:val="left"/>
      <w:pPr>
        <w:tabs>
          <w:tab w:val="num" w:pos="1440"/>
        </w:tabs>
        <w:ind w:left="1440" w:hanging="360"/>
      </w:pPr>
      <w:rPr>
        <w:rFonts w:ascii="Arial" w:hAnsi="Arial" w:hint="default"/>
      </w:rPr>
    </w:lvl>
    <w:lvl w:ilvl="2" w:tplc="CBE2457A" w:tentative="1">
      <w:start w:val="1"/>
      <w:numFmt w:val="bullet"/>
      <w:lvlText w:val="•"/>
      <w:lvlJc w:val="left"/>
      <w:pPr>
        <w:tabs>
          <w:tab w:val="num" w:pos="2160"/>
        </w:tabs>
        <w:ind w:left="2160" w:hanging="360"/>
      </w:pPr>
      <w:rPr>
        <w:rFonts w:ascii="Arial" w:hAnsi="Arial" w:hint="default"/>
      </w:rPr>
    </w:lvl>
    <w:lvl w:ilvl="3" w:tplc="A93A9120" w:tentative="1">
      <w:start w:val="1"/>
      <w:numFmt w:val="bullet"/>
      <w:lvlText w:val="•"/>
      <w:lvlJc w:val="left"/>
      <w:pPr>
        <w:tabs>
          <w:tab w:val="num" w:pos="2880"/>
        </w:tabs>
        <w:ind w:left="2880" w:hanging="360"/>
      </w:pPr>
      <w:rPr>
        <w:rFonts w:ascii="Arial" w:hAnsi="Arial" w:hint="default"/>
      </w:rPr>
    </w:lvl>
    <w:lvl w:ilvl="4" w:tplc="E646B2F4" w:tentative="1">
      <w:start w:val="1"/>
      <w:numFmt w:val="bullet"/>
      <w:lvlText w:val="•"/>
      <w:lvlJc w:val="left"/>
      <w:pPr>
        <w:tabs>
          <w:tab w:val="num" w:pos="3600"/>
        </w:tabs>
        <w:ind w:left="3600" w:hanging="360"/>
      </w:pPr>
      <w:rPr>
        <w:rFonts w:ascii="Arial" w:hAnsi="Arial" w:hint="default"/>
      </w:rPr>
    </w:lvl>
    <w:lvl w:ilvl="5" w:tplc="EC38BCE4" w:tentative="1">
      <w:start w:val="1"/>
      <w:numFmt w:val="bullet"/>
      <w:lvlText w:val="•"/>
      <w:lvlJc w:val="left"/>
      <w:pPr>
        <w:tabs>
          <w:tab w:val="num" w:pos="4320"/>
        </w:tabs>
        <w:ind w:left="4320" w:hanging="360"/>
      </w:pPr>
      <w:rPr>
        <w:rFonts w:ascii="Arial" w:hAnsi="Arial" w:hint="default"/>
      </w:rPr>
    </w:lvl>
    <w:lvl w:ilvl="6" w:tplc="F5FA2A18" w:tentative="1">
      <w:start w:val="1"/>
      <w:numFmt w:val="bullet"/>
      <w:lvlText w:val="•"/>
      <w:lvlJc w:val="left"/>
      <w:pPr>
        <w:tabs>
          <w:tab w:val="num" w:pos="5040"/>
        </w:tabs>
        <w:ind w:left="5040" w:hanging="360"/>
      </w:pPr>
      <w:rPr>
        <w:rFonts w:ascii="Arial" w:hAnsi="Arial" w:hint="default"/>
      </w:rPr>
    </w:lvl>
    <w:lvl w:ilvl="7" w:tplc="2506A566" w:tentative="1">
      <w:start w:val="1"/>
      <w:numFmt w:val="bullet"/>
      <w:lvlText w:val="•"/>
      <w:lvlJc w:val="left"/>
      <w:pPr>
        <w:tabs>
          <w:tab w:val="num" w:pos="5760"/>
        </w:tabs>
        <w:ind w:left="5760" w:hanging="360"/>
      </w:pPr>
      <w:rPr>
        <w:rFonts w:ascii="Arial" w:hAnsi="Arial" w:hint="default"/>
      </w:rPr>
    </w:lvl>
    <w:lvl w:ilvl="8" w:tplc="A1BE76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8D5DF9"/>
    <w:multiLevelType w:val="hybridMultilevel"/>
    <w:tmpl w:val="E53A949E"/>
    <w:lvl w:ilvl="0" w:tplc="DE42168E">
      <w:start w:val="1"/>
      <w:numFmt w:val="bullet"/>
      <w:lvlText w:val="•"/>
      <w:lvlJc w:val="left"/>
      <w:pPr>
        <w:tabs>
          <w:tab w:val="num" w:pos="720"/>
        </w:tabs>
        <w:ind w:left="720" w:hanging="360"/>
      </w:pPr>
      <w:rPr>
        <w:rFonts w:ascii="Arial" w:hAnsi="Arial" w:hint="default"/>
      </w:rPr>
    </w:lvl>
    <w:lvl w:ilvl="1" w:tplc="8872F944" w:tentative="1">
      <w:start w:val="1"/>
      <w:numFmt w:val="bullet"/>
      <w:lvlText w:val="•"/>
      <w:lvlJc w:val="left"/>
      <w:pPr>
        <w:tabs>
          <w:tab w:val="num" w:pos="1440"/>
        </w:tabs>
        <w:ind w:left="1440" w:hanging="360"/>
      </w:pPr>
      <w:rPr>
        <w:rFonts w:ascii="Arial" w:hAnsi="Arial" w:hint="default"/>
      </w:rPr>
    </w:lvl>
    <w:lvl w:ilvl="2" w:tplc="2804716C" w:tentative="1">
      <w:start w:val="1"/>
      <w:numFmt w:val="bullet"/>
      <w:lvlText w:val="•"/>
      <w:lvlJc w:val="left"/>
      <w:pPr>
        <w:tabs>
          <w:tab w:val="num" w:pos="2160"/>
        </w:tabs>
        <w:ind w:left="2160" w:hanging="360"/>
      </w:pPr>
      <w:rPr>
        <w:rFonts w:ascii="Arial" w:hAnsi="Arial" w:hint="default"/>
      </w:rPr>
    </w:lvl>
    <w:lvl w:ilvl="3" w:tplc="CE26330C" w:tentative="1">
      <w:start w:val="1"/>
      <w:numFmt w:val="bullet"/>
      <w:lvlText w:val="•"/>
      <w:lvlJc w:val="left"/>
      <w:pPr>
        <w:tabs>
          <w:tab w:val="num" w:pos="2880"/>
        </w:tabs>
        <w:ind w:left="2880" w:hanging="360"/>
      </w:pPr>
      <w:rPr>
        <w:rFonts w:ascii="Arial" w:hAnsi="Arial" w:hint="default"/>
      </w:rPr>
    </w:lvl>
    <w:lvl w:ilvl="4" w:tplc="AC6C1B12" w:tentative="1">
      <w:start w:val="1"/>
      <w:numFmt w:val="bullet"/>
      <w:lvlText w:val="•"/>
      <w:lvlJc w:val="left"/>
      <w:pPr>
        <w:tabs>
          <w:tab w:val="num" w:pos="3600"/>
        </w:tabs>
        <w:ind w:left="3600" w:hanging="360"/>
      </w:pPr>
      <w:rPr>
        <w:rFonts w:ascii="Arial" w:hAnsi="Arial" w:hint="default"/>
      </w:rPr>
    </w:lvl>
    <w:lvl w:ilvl="5" w:tplc="E66EC2D8" w:tentative="1">
      <w:start w:val="1"/>
      <w:numFmt w:val="bullet"/>
      <w:lvlText w:val="•"/>
      <w:lvlJc w:val="left"/>
      <w:pPr>
        <w:tabs>
          <w:tab w:val="num" w:pos="4320"/>
        </w:tabs>
        <w:ind w:left="4320" w:hanging="360"/>
      </w:pPr>
      <w:rPr>
        <w:rFonts w:ascii="Arial" w:hAnsi="Arial" w:hint="default"/>
      </w:rPr>
    </w:lvl>
    <w:lvl w:ilvl="6" w:tplc="863C1C2C" w:tentative="1">
      <w:start w:val="1"/>
      <w:numFmt w:val="bullet"/>
      <w:lvlText w:val="•"/>
      <w:lvlJc w:val="left"/>
      <w:pPr>
        <w:tabs>
          <w:tab w:val="num" w:pos="5040"/>
        </w:tabs>
        <w:ind w:left="5040" w:hanging="360"/>
      </w:pPr>
      <w:rPr>
        <w:rFonts w:ascii="Arial" w:hAnsi="Arial" w:hint="default"/>
      </w:rPr>
    </w:lvl>
    <w:lvl w:ilvl="7" w:tplc="3238D99E" w:tentative="1">
      <w:start w:val="1"/>
      <w:numFmt w:val="bullet"/>
      <w:lvlText w:val="•"/>
      <w:lvlJc w:val="left"/>
      <w:pPr>
        <w:tabs>
          <w:tab w:val="num" w:pos="5760"/>
        </w:tabs>
        <w:ind w:left="5760" w:hanging="360"/>
      </w:pPr>
      <w:rPr>
        <w:rFonts w:ascii="Arial" w:hAnsi="Arial" w:hint="default"/>
      </w:rPr>
    </w:lvl>
    <w:lvl w:ilvl="8" w:tplc="0DACBF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AC5AF2"/>
    <w:multiLevelType w:val="hybridMultilevel"/>
    <w:tmpl w:val="652CB102"/>
    <w:lvl w:ilvl="0" w:tplc="3740DF74">
      <w:start w:val="1"/>
      <w:numFmt w:val="bullet"/>
      <w:lvlText w:val="◦"/>
      <w:lvlJc w:val="left"/>
      <w:pPr>
        <w:tabs>
          <w:tab w:val="num" w:pos="720"/>
        </w:tabs>
        <w:ind w:left="720" w:hanging="360"/>
      </w:pPr>
      <w:rPr>
        <w:rFonts w:ascii="Calibri" w:hAnsi="Calibri" w:hint="default"/>
      </w:rPr>
    </w:lvl>
    <w:lvl w:ilvl="1" w:tplc="174C3BFA">
      <w:start w:val="1"/>
      <w:numFmt w:val="bullet"/>
      <w:lvlText w:val="◦"/>
      <w:lvlJc w:val="left"/>
      <w:pPr>
        <w:tabs>
          <w:tab w:val="num" w:pos="1440"/>
        </w:tabs>
        <w:ind w:left="1440" w:hanging="360"/>
      </w:pPr>
      <w:rPr>
        <w:rFonts w:ascii="Calibri" w:hAnsi="Calibri" w:hint="default"/>
      </w:rPr>
    </w:lvl>
    <w:lvl w:ilvl="2" w:tplc="634A8F04" w:tentative="1">
      <w:start w:val="1"/>
      <w:numFmt w:val="bullet"/>
      <w:lvlText w:val="◦"/>
      <w:lvlJc w:val="left"/>
      <w:pPr>
        <w:tabs>
          <w:tab w:val="num" w:pos="2160"/>
        </w:tabs>
        <w:ind w:left="2160" w:hanging="360"/>
      </w:pPr>
      <w:rPr>
        <w:rFonts w:ascii="Calibri" w:hAnsi="Calibri" w:hint="default"/>
      </w:rPr>
    </w:lvl>
    <w:lvl w:ilvl="3" w:tplc="159EAD90" w:tentative="1">
      <w:start w:val="1"/>
      <w:numFmt w:val="bullet"/>
      <w:lvlText w:val="◦"/>
      <w:lvlJc w:val="left"/>
      <w:pPr>
        <w:tabs>
          <w:tab w:val="num" w:pos="2880"/>
        </w:tabs>
        <w:ind w:left="2880" w:hanging="360"/>
      </w:pPr>
      <w:rPr>
        <w:rFonts w:ascii="Calibri" w:hAnsi="Calibri" w:hint="default"/>
      </w:rPr>
    </w:lvl>
    <w:lvl w:ilvl="4" w:tplc="DF64A34C" w:tentative="1">
      <w:start w:val="1"/>
      <w:numFmt w:val="bullet"/>
      <w:lvlText w:val="◦"/>
      <w:lvlJc w:val="left"/>
      <w:pPr>
        <w:tabs>
          <w:tab w:val="num" w:pos="3600"/>
        </w:tabs>
        <w:ind w:left="3600" w:hanging="360"/>
      </w:pPr>
      <w:rPr>
        <w:rFonts w:ascii="Calibri" w:hAnsi="Calibri" w:hint="default"/>
      </w:rPr>
    </w:lvl>
    <w:lvl w:ilvl="5" w:tplc="3476EB42" w:tentative="1">
      <w:start w:val="1"/>
      <w:numFmt w:val="bullet"/>
      <w:lvlText w:val="◦"/>
      <w:lvlJc w:val="left"/>
      <w:pPr>
        <w:tabs>
          <w:tab w:val="num" w:pos="4320"/>
        </w:tabs>
        <w:ind w:left="4320" w:hanging="360"/>
      </w:pPr>
      <w:rPr>
        <w:rFonts w:ascii="Calibri" w:hAnsi="Calibri" w:hint="default"/>
      </w:rPr>
    </w:lvl>
    <w:lvl w:ilvl="6" w:tplc="F288EA02" w:tentative="1">
      <w:start w:val="1"/>
      <w:numFmt w:val="bullet"/>
      <w:lvlText w:val="◦"/>
      <w:lvlJc w:val="left"/>
      <w:pPr>
        <w:tabs>
          <w:tab w:val="num" w:pos="5040"/>
        </w:tabs>
        <w:ind w:left="5040" w:hanging="360"/>
      </w:pPr>
      <w:rPr>
        <w:rFonts w:ascii="Calibri" w:hAnsi="Calibri" w:hint="default"/>
      </w:rPr>
    </w:lvl>
    <w:lvl w:ilvl="7" w:tplc="CCDE0FE6" w:tentative="1">
      <w:start w:val="1"/>
      <w:numFmt w:val="bullet"/>
      <w:lvlText w:val="◦"/>
      <w:lvlJc w:val="left"/>
      <w:pPr>
        <w:tabs>
          <w:tab w:val="num" w:pos="5760"/>
        </w:tabs>
        <w:ind w:left="5760" w:hanging="360"/>
      </w:pPr>
      <w:rPr>
        <w:rFonts w:ascii="Calibri" w:hAnsi="Calibri" w:hint="default"/>
      </w:rPr>
    </w:lvl>
    <w:lvl w:ilvl="8" w:tplc="45DCA02E" w:tentative="1">
      <w:start w:val="1"/>
      <w:numFmt w:val="bullet"/>
      <w:lvlText w:val="◦"/>
      <w:lvlJc w:val="left"/>
      <w:pPr>
        <w:tabs>
          <w:tab w:val="num" w:pos="6480"/>
        </w:tabs>
        <w:ind w:left="6480" w:hanging="360"/>
      </w:pPr>
      <w:rPr>
        <w:rFonts w:ascii="Calibri" w:hAnsi="Calibri" w:hint="default"/>
      </w:rPr>
    </w:lvl>
  </w:abstractNum>
  <w:num w:numId="1">
    <w:abstractNumId w:val="13"/>
  </w:num>
  <w:num w:numId="2">
    <w:abstractNumId w:val="28"/>
  </w:num>
  <w:num w:numId="3">
    <w:abstractNumId w:val="21"/>
  </w:num>
  <w:num w:numId="4">
    <w:abstractNumId w:val="21"/>
  </w:num>
  <w:num w:numId="5">
    <w:abstractNumId w:val="3"/>
  </w:num>
  <w:num w:numId="6">
    <w:abstractNumId w:val="9"/>
  </w:num>
  <w:num w:numId="7">
    <w:abstractNumId w:val="10"/>
  </w:num>
  <w:num w:numId="8">
    <w:abstractNumId w:val="14"/>
  </w:num>
  <w:num w:numId="9">
    <w:abstractNumId w:val="4"/>
  </w:num>
  <w:num w:numId="10">
    <w:abstractNumId w:val="17"/>
  </w:num>
  <w:num w:numId="11">
    <w:abstractNumId w:val="20"/>
  </w:num>
  <w:num w:numId="12">
    <w:abstractNumId w:val="2"/>
  </w:num>
  <w:num w:numId="13">
    <w:abstractNumId w:val="22"/>
  </w:num>
  <w:num w:numId="14">
    <w:abstractNumId w:val="0"/>
  </w:num>
  <w:num w:numId="15">
    <w:abstractNumId w:val="29"/>
  </w:num>
  <w:num w:numId="16">
    <w:abstractNumId w:val="33"/>
  </w:num>
  <w:num w:numId="17">
    <w:abstractNumId w:val="32"/>
  </w:num>
  <w:num w:numId="18">
    <w:abstractNumId w:val="11"/>
  </w:num>
  <w:num w:numId="19">
    <w:abstractNumId w:val="5"/>
  </w:num>
  <w:num w:numId="20">
    <w:abstractNumId w:val="23"/>
  </w:num>
  <w:num w:numId="21">
    <w:abstractNumId w:val="15"/>
  </w:num>
  <w:num w:numId="22">
    <w:abstractNumId w:val="31"/>
  </w:num>
  <w:num w:numId="23">
    <w:abstractNumId w:val="24"/>
  </w:num>
  <w:num w:numId="24">
    <w:abstractNumId w:val="1"/>
  </w:num>
  <w:num w:numId="25">
    <w:abstractNumId w:val="30"/>
  </w:num>
  <w:num w:numId="26">
    <w:abstractNumId w:val="8"/>
  </w:num>
  <w:num w:numId="27">
    <w:abstractNumId w:val="19"/>
  </w:num>
  <w:num w:numId="28">
    <w:abstractNumId w:val="7"/>
  </w:num>
  <w:num w:numId="29">
    <w:abstractNumId w:val="34"/>
  </w:num>
  <w:num w:numId="30">
    <w:abstractNumId w:val="6"/>
  </w:num>
  <w:num w:numId="31">
    <w:abstractNumId w:val="26"/>
  </w:num>
  <w:num w:numId="32">
    <w:abstractNumId w:val="18"/>
  </w:num>
  <w:num w:numId="33">
    <w:abstractNumId w:val="25"/>
  </w:num>
  <w:num w:numId="34">
    <w:abstractNumId w:val="16"/>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D8"/>
    <w:rsid w:val="000003C9"/>
    <w:rsid w:val="00007E16"/>
    <w:rsid w:val="000235D6"/>
    <w:rsid w:val="0003407D"/>
    <w:rsid w:val="000351FC"/>
    <w:rsid w:val="000546CC"/>
    <w:rsid w:val="00074B38"/>
    <w:rsid w:val="00081629"/>
    <w:rsid w:val="000823E9"/>
    <w:rsid w:val="00086A22"/>
    <w:rsid w:val="000967E2"/>
    <w:rsid w:val="000A285F"/>
    <w:rsid w:val="000A456A"/>
    <w:rsid w:val="000D3A2E"/>
    <w:rsid w:val="000D457D"/>
    <w:rsid w:val="000D55B2"/>
    <w:rsid w:val="000D6FD4"/>
    <w:rsid w:val="000E0BE8"/>
    <w:rsid w:val="000F293C"/>
    <w:rsid w:val="00105B77"/>
    <w:rsid w:val="00112386"/>
    <w:rsid w:val="00114F00"/>
    <w:rsid w:val="001154C3"/>
    <w:rsid w:val="00120316"/>
    <w:rsid w:val="00121F8F"/>
    <w:rsid w:val="00132BBF"/>
    <w:rsid w:val="001416C1"/>
    <w:rsid w:val="00141FA7"/>
    <w:rsid w:val="001569A4"/>
    <w:rsid w:val="00160D76"/>
    <w:rsid w:val="0016311A"/>
    <w:rsid w:val="001667B8"/>
    <w:rsid w:val="00176341"/>
    <w:rsid w:val="00177E22"/>
    <w:rsid w:val="00182836"/>
    <w:rsid w:val="001840FA"/>
    <w:rsid w:val="001A253C"/>
    <w:rsid w:val="001A2E23"/>
    <w:rsid w:val="001B081E"/>
    <w:rsid w:val="001B7C7C"/>
    <w:rsid w:val="001D01A3"/>
    <w:rsid w:val="001D2000"/>
    <w:rsid w:val="001D52A1"/>
    <w:rsid w:val="001D7AD3"/>
    <w:rsid w:val="001E7408"/>
    <w:rsid w:val="001F44A6"/>
    <w:rsid w:val="00201118"/>
    <w:rsid w:val="002174F8"/>
    <w:rsid w:val="00217D73"/>
    <w:rsid w:val="00223C86"/>
    <w:rsid w:val="0022545A"/>
    <w:rsid w:val="0022646E"/>
    <w:rsid w:val="00226CCF"/>
    <w:rsid w:val="00230631"/>
    <w:rsid w:val="00230A43"/>
    <w:rsid w:val="00231D3B"/>
    <w:rsid w:val="00232885"/>
    <w:rsid w:val="0024673B"/>
    <w:rsid w:val="00251A08"/>
    <w:rsid w:val="002565C5"/>
    <w:rsid w:val="00261309"/>
    <w:rsid w:val="002624B6"/>
    <w:rsid w:val="00267611"/>
    <w:rsid w:val="00285574"/>
    <w:rsid w:val="00291142"/>
    <w:rsid w:val="002A647E"/>
    <w:rsid w:val="002E1239"/>
    <w:rsid w:val="002E57C3"/>
    <w:rsid w:val="002F0A8B"/>
    <w:rsid w:val="002F182E"/>
    <w:rsid w:val="002F28DF"/>
    <w:rsid w:val="00312F0C"/>
    <w:rsid w:val="00315C5A"/>
    <w:rsid w:val="0032163D"/>
    <w:rsid w:val="00337F24"/>
    <w:rsid w:val="003423F2"/>
    <w:rsid w:val="003445AE"/>
    <w:rsid w:val="00345F07"/>
    <w:rsid w:val="003474A7"/>
    <w:rsid w:val="00351036"/>
    <w:rsid w:val="00357A9B"/>
    <w:rsid w:val="0036163C"/>
    <w:rsid w:val="00363411"/>
    <w:rsid w:val="00366456"/>
    <w:rsid w:val="00371D05"/>
    <w:rsid w:val="00376A6D"/>
    <w:rsid w:val="00387EA5"/>
    <w:rsid w:val="00393CF7"/>
    <w:rsid w:val="00395DAD"/>
    <w:rsid w:val="00396FE8"/>
    <w:rsid w:val="003A090E"/>
    <w:rsid w:val="003A13B8"/>
    <w:rsid w:val="003A1563"/>
    <w:rsid w:val="003A2414"/>
    <w:rsid w:val="003B5E35"/>
    <w:rsid w:val="003B7BAE"/>
    <w:rsid w:val="003C1D86"/>
    <w:rsid w:val="003D161D"/>
    <w:rsid w:val="003F151F"/>
    <w:rsid w:val="003F5ADB"/>
    <w:rsid w:val="00400BF1"/>
    <w:rsid w:val="0040125A"/>
    <w:rsid w:val="004024F6"/>
    <w:rsid w:val="00403054"/>
    <w:rsid w:val="00411F67"/>
    <w:rsid w:val="00412CC4"/>
    <w:rsid w:val="00417F48"/>
    <w:rsid w:val="004223A5"/>
    <w:rsid w:val="00431230"/>
    <w:rsid w:val="004315FD"/>
    <w:rsid w:val="0044574F"/>
    <w:rsid w:val="00446A0D"/>
    <w:rsid w:val="004478B6"/>
    <w:rsid w:val="0045139A"/>
    <w:rsid w:val="004527FC"/>
    <w:rsid w:val="00452EB3"/>
    <w:rsid w:val="004610A3"/>
    <w:rsid w:val="00461772"/>
    <w:rsid w:val="0047055F"/>
    <w:rsid w:val="00473AF3"/>
    <w:rsid w:val="00475BFC"/>
    <w:rsid w:val="004915ED"/>
    <w:rsid w:val="004A03C3"/>
    <w:rsid w:val="004A3FD6"/>
    <w:rsid w:val="004B1DCB"/>
    <w:rsid w:val="004B39B8"/>
    <w:rsid w:val="004B3F2C"/>
    <w:rsid w:val="004B49E5"/>
    <w:rsid w:val="004B593C"/>
    <w:rsid w:val="004C13BB"/>
    <w:rsid w:val="004C258E"/>
    <w:rsid w:val="004C276E"/>
    <w:rsid w:val="004C716B"/>
    <w:rsid w:val="004D4337"/>
    <w:rsid w:val="004D75A4"/>
    <w:rsid w:val="004F5E5F"/>
    <w:rsid w:val="004F628F"/>
    <w:rsid w:val="004F66CB"/>
    <w:rsid w:val="004F7284"/>
    <w:rsid w:val="0050236E"/>
    <w:rsid w:val="00502FF8"/>
    <w:rsid w:val="00504826"/>
    <w:rsid w:val="00532360"/>
    <w:rsid w:val="00544FD4"/>
    <w:rsid w:val="00547635"/>
    <w:rsid w:val="00547847"/>
    <w:rsid w:val="0056599A"/>
    <w:rsid w:val="00572A46"/>
    <w:rsid w:val="005839C9"/>
    <w:rsid w:val="00590980"/>
    <w:rsid w:val="00594B56"/>
    <w:rsid w:val="00594F51"/>
    <w:rsid w:val="0059505B"/>
    <w:rsid w:val="005974FF"/>
    <w:rsid w:val="005A389D"/>
    <w:rsid w:val="005A3EED"/>
    <w:rsid w:val="005B2769"/>
    <w:rsid w:val="005B39ED"/>
    <w:rsid w:val="005C7F7F"/>
    <w:rsid w:val="005D1F7E"/>
    <w:rsid w:val="005F0A5F"/>
    <w:rsid w:val="0060112E"/>
    <w:rsid w:val="00604751"/>
    <w:rsid w:val="00632A6C"/>
    <w:rsid w:val="00666A00"/>
    <w:rsid w:val="00672D62"/>
    <w:rsid w:val="00675304"/>
    <w:rsid w:val="006809C4"/>
    <w:rsid w:val="00682EB3"/>
    <w:rsid w:val="00691A91"/>
    <w:rsid w:val="00697670"/>
    <w:rsid w:val="006A2FEA"/>
    <w:rsid w:val="006A5E11"/>
    <w:rsid w:val="006A5F66"/>
    <w:rsid w:val="006A7156"/>
    <w:rsid w:val="006A75DA"/>
    <w:rsid w:val="006D7ACB"/>
    <w:rsid w:val="006E5CD5"/>
    <w:rsid w:val="00705F4F"/>
    <w:rsid w:val="00706106"/>
    <w:rsid w:val="00712805"/>
    <w:rsid w:val="00724633"/>
    <w:rsid w:val="00724660"/>
    <w:rsid w:val="00725ECA"/>
    <w:rsid w:val="00742391"/>
    <w:rsid w:val="00746D7F"/>
    <w:rsid w:val="007519E6"/>
    <w:rsid w:val="007534BE"/>
    <w:rsid w:val="007627C9"/>
    <w:rsid w:val="00770F4F"/>
    <w:rsid w:val="007722A8"/>
    <w:rsid w:val="00773F0D"/>
    <w:rsid w:val="007815C6"/>
    <w:rsid w:val="00793596"/>
    <w:rsid w:val="007A5B2E"/>
    <w:rsid w:val="007B5928"/>
    <w:rsid w:val="007C0D8B"/>
    <w:rsid w:val="007C3E7E"/>
    <w:rsid w:val="007C472D"/>
    <w:rsid w:val="007D10B0"/>
    <w:rsid w:val="007D5ABB"/>
    <w:rsid w:val="007E1EA2"/>
    <w:rsid w:val="007F43F3"/>
    <w:rsid w:val="008013F3"/>
    <w:rsid w:val="00814885"/>
    <w:rsid w:val="0082023A"/>
    <w:rsid w:val="00820B5A"/>
    <w:rsid w:val="008278F1"/>
    <w:rsid w:val="008323C0"/>
    <w:rsid w:val="00843440"/>
    <w:rsid w:val="00851F54"/>
    <w:rsid w:val="00854BA7"/>
    <w:rsid w:val="008820E1"/>
    <w:rsid w:val="00887742"/>
    <w:rsid w:val="008A27C5"/>
    <w:rsid w:val="008B27CC"/>
    <w:rsid w:val="008B39E9"/>
    <w:rsid w:val="008B7CC1"/>
    <w:rsid w:val="008C218E"/>
    <w:rsid w:val="008D6E81"/>
    <w:rsid w:val="008E06B2"/>
    <w:rsid w:val="008E13D2"/>
    <w:rsid w:val="008E4621"/>
    <w:rsid w:val="008E5DAA"/>
    <w:rsid w:val="008F0B3A"/>
    <w:rsid w:val="008F1799"/>
    <w:rsid w:val="008F1C7E"/>
    <w:rsid w:val="009028E4"/>
    <w:rsid w:val="00907169"/>
    <w:rsid w:val="00910165"/>
    <w:rsid w:val="00911A2E"/>
    <w:rsid w:val="00927E58"/>
    <w:rsid w:val="00931EEC"/>
    <w:rsid w:val="009339A9"/>
    <w:rsid w:val="00933EB9"/>
    <w:rsid w:val="00950EC4"/>
    <w:rsid w:val="00965068"/>
    <w:rsid w:val="0097575D"/>
    <w:rsid w:val="00976F5C"/>
    <w:rsid w:val="00981152"/>
    <w:rsid w:val="009833B6"/>
    <w:rsid w:val="009912D1"/>
    <w:rsid w:val="00996D13"/>
    <w:rsid w:val="009B3F0D"/>
    <w:rsid w:val="009B5520"/>
    <w:rsid w:val="009C0492"/>
    <w:rsid w:val="009C4159"/>
    <w:rsid w:val="009C55DA"/>
    <w:rsid w:val="009D0436"/>
    <w:rsid w:val="009F1CEC"/>
    <w:rsid w:val="009F464A"/>
    <w:rsid w:val="00A05BD1"/>
    <w:rsid w:val="00A15AE2"/>
    <w:rsid w:val="00A21B7A"/>
    <w:rsid w:val="00A35CC2"/>
    <w:rsid w:val="00A44B9F"/>
    <w:rsid w:val="00A46783"/>
    <w:rsid w:val="00A504FB"/>
    <w:rsid w:val="00A57F85"/>
    <w:rsid w:val="00A63F41"/>
    <w:rsid w:val="00A6631D"/>
    <w:rsid w:val="00A805EF"/>
    <w:rsid w:val="00A80903"/>
    <w:rsid w:val="00A82CD5"/>
    <w:rsid w:val="00AA1CFC"/>
    <w:rsid w:val="00AA25B3"/>
    <w:rsid w:val="00AA4841"/>
    <w:rsid w:val="00AA5C4E"/>
    <w:rsid w:val="00AB4BB0"/>
    <w:rsid w:val="00AB747C"/>
    <w:rsid w:val="00AD6131"/>
    <w:rsid w:val="00AE636D"/>
    <w:rsid w:val="00AE6E0E"/>
    <w:rsid w:val="00B01D83"/>
    <w:rsid w:val="00B110EA"/>
    <w:rsid w:val="00B33DE3"/>
    <w:rsid w:val="00B35230"/>
    <w:rsid w:val="00B54A2A"/>
    <w:rsid w:val="00B655C9"/>
    <w:rsid w:val="00B65711"/>
    <w:rsid w:val="00B674BD"/>
    <w:rsid w:val="00B70B6B"/>
    <w:rsid w:val="00B81588"/>
    <w:rsid w:val="00B86C73"/>
    <w:rsid w:val="00B87388"/>
    <w:rsid w:val="00B92C56"/>
    <w:rsid w:val="00BA5B41"/>
    <w:rsid w:val="00BC1491"/>
    <w:rsid w:val="00BC200A"/>
    <w:rsid w:val="00BC590F"/>
    <w:rsid w:val="00BC6D2A"/>
    <w:rsid w:val="00BE0751"/>
    <w:rsid w:val="00BE4C5F"/>
    <w:rsid w:val="00BE6FE2"/>
    <w:rsid w:val="00BF110E"/>
    <w:rsid w:val="00C058BB"/>
    <w:rsid w:val="00C12B0E"/>
    <w:rsid w:val="00C13C01"/>
    <w:rsid w:val="00C418B4"/>
    <w:rsid w:val="00C44BAA"/>
    <w:rsid w:val="00C526F3"/>
    <w:rsid w:val="00C57AD1"/>
    <w:rsid w:val="00C61359"/>
    <w:rsid w:val="00C67445"/>
    <w:rsid w:val="00C70029"/>
    <w:rsid w:val="00C7098A"/>
    <w:rsid w:val="00C70DC7"/>
    <w:rsid w:val="00C718F8"/>
    <w:rsid w:val="00C7462E"/>
    <w:rsid w:val="00C763DF"/>
    <w:rsid w:val="00C8650B"/>
    <w:rsid w:val="00C96C8F"/>
    <w:rsid w:val="00CA15F5"/>
    <w:rsid w:val="00CA289A"/>
    <w:rsid w:val="00CB317A"/>
    <w:rsid w:val="00CC14B1"/>
    <w:rsid w:val="00CC1A52"/>
    <w:rsid w:val="00CC2C21"/>
    <w:rsid w:val="00CC4BB5"/>
    <w:rsid w:val="00CC4D61"/>
    <w:rsid w:val="00CC5E5E"/>
    <w:rsid w:val="00CD0907"/>
    <w:rsid w:val="00CD261A"/>
    <w:rsid w:val="00CD322A"/>
    <w:rsid w:val="00CD4F45"/>
    <w:rsid w:val="00CE1A10"/>
    <w:rsid w:val="00CF7BF7"/>
    <w:rsid w:val="00D06E8B"/>
    <w:rsid w:val="00D1054A"/>
    <w:rsid w:val="00D14D0A"/>
    <w:rsid w:val="00D17196"/>
    <w:rsid w:val="00D359C2"/>
    <w:rsid w:val="00D3760A"/>
    <w:rsid w:val="00D37F8B"/>
    <w:rsid w:val="00D405B1"/>
    <w:rsid w:val="00D40CB9"/>
    <w:rsid w:val="00D41E04"/>
    <w:rsid w:val="00D47D4E"/>
    <w:rsid w:val="00D55D7D"/>
    <w:rsid w:val="00D56B7F"/>
    <w:rsid w:val="00D656EC"/>
    <w:rsid w:val="00D716BF"/>
    <w:rsid w:val="00D85B2F"/>
    <w:rsid w:val="00D85E8E"/>
    <w:rsid w:val="00DA6CAD"/>
    <w:rsid w:val="00DC104E"/>
    <w:rsid w:val="00DC6583"/>
    <w:rsid w:val="00DE1C5B"/>
    <w:rsid w:val="00DE618E"/>
    <w:rsid w:val="00DF17CC"/>
    <w:rsid w:val="00DF754D"/>
    <w:rsid w:val="00E06CA5"/>
    <w:rsid w:val="00E1491D"/>
    <w:rsid w:val="00E15365"/>
    <w:rsid w:val="00E15FAC"/>
    <w:rsid w:val="00E25FD8"/>
    <w:rsid w:val="00E31E36"/>
    <w:rsid w:val="00E32C74"/>
    <w:rsid w:val="00E359A4"/>
    <w:rsid w:val="00E40891"/>
    <w:rsid w:val="00E40ABB"/>
    <w:rsid w:val="00E41544"/>
    <w:rsid w:val="00E47AB5"/>
    <w:rsid w:val="00E540FA"/>
    <w:rsid w:val="00E659F6"/>
    <w:rsid w:val="00E70469"/>
    <w:rsid w:val="00E72182"/>
    <w:rsid w:val="00E76E07"/>
    <w:rsid w:val="00E933C5"/>
    <w:rsid w:val="00E93721"/>
    <w:rsid w:val="00EB5D83"/>
    <w:rsid w:val="00EB74F6"/>
    <w:rsid w:val="00EC2394"/>
    <w:rsid w:val="00EC303D"/>
    <w:rsid w:val="00EC4BBD"/>
    <w:rsid w:val="00ED1467"/>
    <w:rsid w:val="00ED3667"/>
    <w:rsid w:val="00EE1620"/>
    <w:rsid w:val="00EE19C5"/>
    <w:rsid w:val="00EE1DDD"/>
    <w:rsid w:val="00EF02F9"/>
    <w:rsid w:val="00EF08BB"/>
    <w:rsid w:val="00EF51FE"/>
    <w:rsid w:val="00F04803"/>
    <w:rsid w:val="00F14B4D"/>
    <w:rsid w:val="00F22CF4"/>
    <w:rsid w:val="00F27A8D"/>
    <w:rsid w:val="00F30A4F"/>
    <w:rsid w:val="00F32809"/>
    <w:rsid w:val="00F36063"/>
    <w:rsid w:val="00F37CDB"/>
    <w:rsid w:val="00F4000F"/>
    <w:rsid w:val="00F4144D"/>
    <w:rsid w:val="00F53352"/>
    <w:rsid w:val="00F57277"/>
    <w:rsid w:val="00F57A8F"/>
    <w:rsid w:val="00F62344"/>
    <w:rsid w:val="00F63AF7"/>
    <w:rsid w:val="00F72309"/>
    <w:rsid w:val="00F82FF8"/>
    <w:rsid w:val="00F907DF"/>
    <w:rsid w:val="00F940A8"/>
    <w:rsid w:val="00FA29AE"/>
    <w:rsid w:val="00FA2E31"/>
    <w:rsid w:val="00FA4AFE"/>
    <w:rsid w:val="00FA4C4E"/>
    <w:rsid w:val="00FB1E53"/>
    <w:rsid w:val="00FB6201"/>
    <w:rsid w:val="00FC318B"/>
    <w:rsid w:val="00FC7DB4"/>
    <w:rsid w:val="00FE61FA"/>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E70646"/>
  <w15:docId w15:val="{B8A8A019-C01A-A547-A829-5EF401EA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pPr>
  </w:style>
  <w:style w:type="character" w:customStyle="1" w:styleId="FooterChar">
    <w:name w:val="Footer Char"/>
    <w:basedOn w:val="DefaultParagraphFont"/>
    <w:link w:val="Footer"/>
    <w:uiPriority w:val="99"/>
    <w:rsid w:val="00E25FD8"/>
  </w:style>
  <w:style w:type="paragraph" w:customStyle="1" w:styleId="ListBullet1indent4">
    <w:name w:val="List Bullet 1 indent 4"/>
    <w:basedOn w:val="Normal"/>
    <w:uiPriority w:val="99"/>
    <w:rsid w:val="00773F0D"/>
    <w:pPr>
      <w:numPr>
        <w:numId w:val="1"/>
      </w:numPr>
      <w:spacing w:before="120"/>
    </w:pPr>
    <w:rPr>
      <w:rFonts w:ascii="Arial" w:hAnsi="Arial" w:cs="Arial"/>
    </w:rPr>
  </w:style>
  <w:style w:type="paragraph" w:customStyle="1" w:styleId="ListBullet2Indent2">
    <w:name w:val="List Bullet 2 Indent 2"/>
    <w:basedOn w:val="ListBullet2"/>
    <w:uiPriority w:val="99"/>
    <w:rsid w:val="00773F0D"/>
    <w:pPr>
      <w:numPr>
        <w:numId w:val="2"/>
      </w:numPr>
      <w:tabs>
        <w:tab w:val="num" w:pos="360"/>
      </w:tabs>
      <w:spacing w:before="120"/>
      <w:ind w:left="1800"/>
      <w:contextualSpacing w:val="0"/>
    </w:pPr>
    <w:rPr>
      <w:rFonts w:ascii="Arial" w:hAnsi="Arial" w:cs="Arial"/>
    </w:rPr>
  </w:style>
  <w:style w:type="paragraph" w:styleId="ListBullet2">
    <w:name w:val="List Bullet 2"/>
    <w:basedOn w:val="Normal"/>
    <w:uiPriority w:val="99"/>
    <w:semiHidden/>
    <w:unhideWhenUsed/>
    <w:rsid w:val="00773F0D"/>
    <w:pPr>
      <w:ind w:left="1440" w:hanging="360"/>
      <w:contextualSpacing/>
    </w:pPr>
  </w:style>
  <w:style w:type="paragraph" w:styleId="ListParagraph">
    <w:name w:val="List Paragraph"/>
    <w:basedOn w:val="Normal"/>
    <w:uiPriority w:val="34"/>
    <w:qFormat/>
    <w:rsid w:val="00363411"/>
    <w:pPr>
      <w:ind w:left="720"/>
      <w:contextualSpacing/>
    </w:pPr>
  </w:style>
  <w:style w:type="character" w:styleId="Hyperlink">
    <w:name w:val="Hyperlink"/>
    <w:basedOn w:val="DefaultParagraphFont"/>
    <w:uiPriority w:val="99"/>
    <w:unhideWhenUsed/>
    <w:rsid w:val="002174F8"/>
    <w:rPr>
      <w:color w:val="0563C1" w:themeColor="hyperlink"/>
      <w:u w:val="single"/>
    </w:rPr>
  </w:style>
  <w:style w:type="character" w:customStyle="1" w:styleId="UnresolvedMention1">
    <w:name w:val="Unresolved Mention1"/>
    <w:basedOn w:val="DefaultParagraphFont"/>
    <w:uiPriority w:val="99"/>
    <w:semiHidden/>
    <w:unhideWhenUsed/>
    <w:rsid w:val="002174F8"/>
    <w:rPr>
      <w:color w:val="605E5C"/>
      <w:shd w:val="clear" w:color="auto" w:fill="E1DFDD"/>
    </w:rPr>
  </w:style>
  <w:style w:type="paragraph" w:customStyle="1" w:styleId="Default">
    <w:name w:val="Default"/>
    <w:rsid w:val="00F30A4F"/>
    <w:pPr>
      <w:autoSpaceDE w:val="0"/>
      <w:autoSpaceDN w:val="0"/>
      <w:adjustRightInd w:val="0"/>
      <w:spacing w:after="0" w:line="240" w:lineRule="auto"/>
    </w:pPr>
    <w:rPr>
      <w:rFonts w:ascii="Cambria" w:hAnsi="Cambria" w:cs="Cambria"/>
      <w:color w:val="000000"/>
      <w:sz w:val="24"/>
      <w:szCs w:val="24"/>
    </w:rPr>
  </w:style>
  <w:style w:type="character" w:styleId="PageNumber">
    <w:name w:val="page number"/>
    <w:basedOn w:val="DefaultParagraphFont"/>
    <w:uiPriority w:val="99"/>
    <w:semiHidden/>
    <w:unhideWhenUsed/>
    <w:rsid w:val="00201118"/>
  </w:style>
  <w:style w:type="paragraph" w:styleId="BalloonText">
    <w:name w:val="Balloon Text"/>
    <w:basedOn w:val="Normal"/>
    <w:link w:val="BalloonTextChar"/>
    <w:uiPriority w:val="99"/>
    <w:semiHidden/>
    <w:unhideWhenUsed/>
    <w:rsid w:val="008F1C7E"/>
    <w:rPr>
      <w:sz w:val="18"/>
      <w:szCs w:val="18"/>
    </w:rPr>
  </w:style>
  <w:style w:type="character" w:customStyle="1" w:styleId="BalloonTextChar">
    <w:name w:val="Balloon Text Char"/>
    <w:basedOn w:val="DefaultParagraphFont"/>
    <w:link w:val="BalloonText"/>
    <w:uiPriority w:val="99"/>
    <w:semiHidden/>
    <w:rsid w:val="008F1C7E"/>
    <w:rPr>
      <w:rFonts w:ascii="Times New Roman" w:hAnsi="Times New Roman" w:cs="Times New Roman"/>
      <w:sz w:val="18"/>
      <w:szCs w:val="18"/>
    </w:rPr>
  </w:style>
  <w:style w:type="table" w:styleId="TableGrid">
    <w:name w:val="Table Grid"/>
    <w:basedOn w:val="TableNormal"/>
    <w:uiPriority w:val="39"/>
    <w:rsid w:val="008F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C7E"/>
    <w:rPr>
      <w:sz w:val="16"/>
      <w:szCs w:val="16"/>
    </w:rPr>
  </w:style>
  <w:style w:type="paragraph" w:styleId="CommentText">
    <w:name w:val="annotation text"/>
    <w:basedOn w:val="Normal"/>
    <w:link w:val="CommentTextChar"/>
    <w:uiPriority w:val="99"/>
    <w:semiHidden/>
    <w:unhideWhenUsed/>
    <w:rsid w:val="008F1C7E"/>
    <w:rPr>
      <w:sz w:val="20"/>
      <w:szCs w:val="20"/>
    </w:rPr>
  </w:style>
  <w:style w:type="character" w:customStyle="1" w:styleId="CommentTextChar">
    <w:name w:val="Comment Text Char"/>
    <w:basedOn w:val="DefaultParagraphFont"/>
    <w:link w:val="CommentText"/>
    <w:uiPriority w:val="99"/>
    <w:semiHidden/>
    <w:rsid w:val="008F1C7E"/>
    <w:rPr>
      <w:sz w:val="20"/>
      <w:szCs w:val="20"/>
    </w:rPr>
  </w:style>
  <w:style w:type="paragraph" w:styleId="CommentSubject">
    <w:name w:val="annotation subject"/>
    <w:basedOn w:val="CommentText"/>
    <w:next w:val="CommentText"/>
    <w:link w:val="CommentSubjectChar"/>
    <w:uiPriority w:val="99"/>
    <w:semiHidden/>
    <w:unhideWhenUsed/>
    <w:rsid w:val="00086A22"/>
    <w:rPr>
      <w:b/>
      <w:bCs/>
    </w:rPr>
  </w:style>
  <w:style w:type="character" w:customStyle="1" w:styleId="CommentSubjectChar">
    <w:name w:val="Comment Subject Char"/>
    <w:basedOn w:val="CommentTextChar"/>
    <w:link w:val="CommentSubject"/>
    <w:uiPriority w:val="99"/>
    <w:semiHidden/>
    <w:rsid w:val="00086A22"/>
    <w:rPr>
      <w:b/>
      <w:bCs/>
      <w:sz w:val="20"/>
      <w:szCs w:val="20"/>
    </w:rPr>
  </w:style>
  <w:style w:type="character" w:styleId="FollowedHyperlink">
    <w:name w:val="FollowedHyperlink"/>
    <w:basedOn w:val="DefaultParagraphFont"/>
    <w:uiPriority w:val="99"/>
    <w:semiHidden/>
    <w:unhideWhenUsed/>
    <w:rsid w:val="00D41E04"/>
    <w:rPr>
      <w:color w:val="954F72" w:themeColor="followedHyperlink"/>
      <w:u w:val="single"/>
    </w:rPr>
  </w:style>
  <w:style w:type="character" w:customStyle="1" w:styleId="apple-converted-space">
    <w:name w:val="apple-converted-space"/>
    <w:basedOn w:val="DefaultParagraphFont"/>
    <w:rsid w:val="00E15FAC"/>
  </w:style>
  <w:style w:type="character" w:styleId="UnresolvedMention">
    <w:name w:val="Unresolved Mention"/>
    <w:basedOn w:val="DefaultParagraphFont"/>
    <w:uiPriority w:val="99"/>
    <w:semiHidden/>
    <w:unhideWhenUsed/>
    <w:rsid w:val="004B49E5"/>
    <w:rPr>
      <w:color w:val="605E5C"/>
      <w:shd w:val="clear" w:color="auto" w:fill="E1DFDD"/>
    </w:rPr>
  </w:style>
  <w:style w:type="paragraph" w:styleId="Revision">
    <w:name w:val="Revision"/>
    <w:hidden/>
    <w:uiPriority w:val="99"/>
    <w:semiHidden/>
    <w:rsid w:val="00BE07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480">
      <w:bodyDiv w:val="1"/>
      <w:marLeft w:val="0"/>
      <w:marRight w:val="0"/>
      <w:marTop w:val="0"/>
      <w:marBottom w:val="0"/>
      <w:divBdr>
        <w:top w:val="none" w:sz="0" w:space="0" w:color="auto"/>
        <w:left w:val="none" w:sz="0" w:space="0" w:color="auto"/>
        <w:bottom w:val="none" w:sz="0" w:space="0" w:color="auto"/>
        <w:right w:val="none" w:sz="0" w:space="0" w:color="auto"/>
      </w:divBdr>
    </w:div>
    <w:div w:id="50426837">
      <w:bodyDiv w:val="1"/>
      <w:marLeft w:val="0"/>
      <w:marRight w:val="0"/>
      <w:marTop w:val="0"/>
      <w:marBottom w:val="0"/>
      <w:divBdr>
        <w:top w:val="none" w:sz="0" w:space="0" w:color="auto"/>
        <w:left w:val="none" w:sz="0" w:space="0" w:color="auto"/>
        <w:bottom w:val="none" w:sz="0" w:space="0" w:color="auto"/>
        <w:right w:val="none" w:sz="0" w:space="0" w:color="auto"/>
      </w:divBdr>
      <w:divsChild>
        <w:div w:id="1802991777">
          <w:marLeft w:val="461"/>
          <w:marRight w:val="0"/>
          <w:marTop w:val="240"/>
          <w:marBottom w:val="40"/>
          <w:divBdr>
            <w:top w:val="none" w:sz="0" w:space="0" w:color="auto"/>
            <w:left w:val="none" w:sz="0" w:space="0" w:color="auto"/>
            <w:bottom w:val="none" w:sz="0" w:space="0" w:color="auto"/>
            <w:right w:val="none" w:sz="0" w:space="0" w:color="auto"/>
          </w:divBdr>
        </w:div>
        <w:div w:id="1758013913">
          <w:marLeft w:val="835"/>
          <w:marRight w:val="0"/>
          <w:marTop w:val="40"/>
          <w:marBottom w:val="80"/>
          <w:divBdr>
            <w:top w:val="none" w:sz="0" w:space="0" w:color="auto"/>
            <w:left w:val="none" w:sz="0" w:space="0" w:color="auto"/>
            <w:bottom w:val="none" w:sz="0" w:space="0" w:color="auto"/>
            <w:right w:val="none" w:sz="0" w:space="0" w:color="auto"/>
          </w:divBdr>
        </w:div>
        <w:div w:id="165555356">
          <w:marLeft w:val="835"/>
          <w:marRight w:val="0"/>
          <w:marTop w:val="40"/>
          <w:marBottom w:val="80"/>
          <w:divBdr>
            <w:top w:val="none" w:sz="0" w:space="0" w:color="auto"/>
            <w:left w:val="none" w:sz="0" w:space="0" w:color="auto"/>
            <w:bottom w:val="none" w:sz="0" w:space="0" w:color="auto"/>
            <w:right w:val="none" w:sz="0" w:space="0" w:color="auto"/>
          </w:divBdr>
        </w:div>
      </w:divsChild>
    </w:div>
    <w:div w:id="90668730">
      <w:bodyDiv w:val="1"/>
      <w:marLeft w:val="0"/>
      <w:marRight w:val="0"/>
      <w:marTop w:val="0"/>
      <w:marBottom w:val="0"/>
      <w:divBdr>
        <w:top w:val="none" w:sz="0" w:space="0" w:color="auto"/>
        <w:left w:val="none" w:sz="0" w:space="0" w:color="auto"/>
        <w:bottom w:val="none" w:sz="0" w:space="0" w:color="auto"/>
        <w:right w:val="none" w:sz="0" w:space="0" w:color="auto"/>
      </w:divBdr>
      <w:divsChild>
        <w:div w:id="1277129677">
          <w:marLeft w:val="835"/>
          <w:marRight w:val="0"/>
          <w:marTop w:val="40"/>
          <w:marBottom w:val="80"/>
          <w:divBdr>
            <w:top w:val="none" w:sz="0" w:space="0" w:color="auto"/>
            <w:left w:val="none" w:sz="0" w:space="0" w:color="auto"/>
            <w:bottom w:val="none" w:sz="0" w:space="0" w:color="auto"/>
            <w:right w:val="none" w:sz="0" w:space="0" w:color="auto"/>
          </w:divBdr>
        </w:div>
        <w:div w:id="2098746762">
          <w:marLeft w:val="835"/>
          <w:marRight w:val="0"/>
          <w:marTop w:val="40"/>
          <w:marBottom w:val="80"/>
          <w:divBdr>
            <w:top w:val="none" w:sz="0" w:space="0" w:color="auto"/>
            <w:left w:val="none" w:sz="0" w:space="0" w:color="auto"/>
            <w:bottom w:val="none" w:sz="0" w:space="0" w:color="auto"/>
            <w:right w:val="none" w:sz="0" w:space="0" w:color="auto"/>
          </w:divBdr>
        </w:div>
        <w:div w:id="1526209282">
          <w:marLeft w:val="1210"/>
          <w:marRight w:val="0"/>
          <w:marTop w:val="40"/>
          <w:marBottom w:val="80"/>
          <w:divBdr>
            <w:top w:val="none" w:sz="0" w:space="0" w:color="auto"/>
            <w:left w:val="none" w:sz="0" w:space="0" w:color="auto"/>
            <w:bottom w:val="none" w:sz="0" w:space="0" w:color="auto"/>
            <w:right w:val="none" w:sz="0" w:space="0" w:color="auto"/>
          </w:divBdr>
        </w:div>
        <w:div w:id="1575626821">
          <w:marLeft w:val="1210"/>
          <w:marRight w:val="0"/>
          <w:marTop w:val="40"/>
          <w:marBottom w:val="80"/>
          <w:divBdr>
            <w:top w:val="none" w:sz="0" w:space="0" w:color="auto"/>
            <w:left w:val="none" w:sz="0" w:space="0" w:color="auto"/>
            <w:bottom w:val="none" w:sz="0" w:space="0" w:color="auto"/>
            <w:right w:val="none" w:sz="0" w:space="0" w:color="auto"/>
          </w:divBdr>
        </w:div>
        <w:div w:id="1303729225">
          <w:marLeft w:val="72"/>
          <w:marRight w:val="0"/>
          <w:marTop w:val="240"/>
          <w:marBottom w:val="40"/>
          <w:divBdr>
            <w:top w:val="none" w:sz="0" w:space="0" w:color="auto"/>
            <w:left w:val="none" w:sz="0" w:space="0" w:color="auto"/>
            <w:bottom w:val="none" w:sz="0" w:space="0" w:color="auto"/>
            <w:right w:val="none" w:sz="0" w:space="0" w:color="auto"/>
          </w:divBdr>
        </w:div>
      </w:divsChild>
    </w:div>
    <w:div w:id="329866816">
      <w:bodyDiv w:val="1"/>
      <w:marLeft w:val="0"/>
      <w:marRight w:val="0"/>
      <w:marTop w:val="0"/>
      <w:marBottom w:val="0"/>
      <w:divBdr>
        <w:top w:val="none" w:sz="0" w:space="0" w:color="auto"/>
        <w:left w:val="none" w:sz="0" w:space="0" w:color="auto"/>
        <w:bottom w:val="none" w:sz="0" w:space="0" w:color="auto"/>
        <w:right w:val="none" w:sz="0" w:space="0" w:color="auto"/>
      </w:divBdr>
      <w:divsChild>
        <w:div w:id="1852837370">
          <w:marLeft w:val="461"/>
          <w:marRight w:val="0"/>
          <w:marTop w:val="240"/>
          <w:marBottom w:val="40"/>
          <w:divBdr>
            <w:top w:val="none" w:sz="0" w:space="0" w:color="auto"/>
            <w:left w:val="none" w:sz="0" w:space="0" w:color="auto"/>
            <w:bottom w:val="none" w:sz="0" w:space="0" w:color="auto"/>
            <w:right w:val="none" w:sz="0" w:space="0" w:color="auto"/>
          </w:divBdr>
        </w:div>
        <w:div w:id="1747066250">
          <w:marLeft w:val="461"/>
          <w:marRight w:val="0"/>
          <w:marTop w:val="240"/>
          <w:marBottom w:val="40"/>
          <w:divBdr>
            <w:top w:val="none" w:sz="0" w:space="0" w:color="auto"/>
            <w:left w:val="none" w:sz="0" w:space="0" w:color="auto"/>
            <w:bottom w:val="none" w:sz="0" w:space="0" w:color="auto"/>
            <w:right w:val="none" w:sz="0" w:space="0" w:color="auto"/>
          </w:divBdr>
        </w:div>
        <w:div w:id="595595479">
          <w:marLeft w:val="922"/>
          <w:marRight w:val="0"/>
          <w:marTop w:val="40"/>
          <w:marBottom w:val="80"/>
          <w:divBdr>
            <w:top w:val="none" w:sz="0" w:space="0" w:color="auto"/>
            <w:left w:val="none" w:sz="0" w:space="0" w:color="auto"/>
            <w:bottom w:val="none" w:sz="0" w:space="0" w:color="auto"/>
            <w:right w:val="none" w:sz="0" w:space="0" w:color="auto"/>
          </w:divBdr>
        </w:div>
        <w:div w:id="480079895">
          <w:marLeft w:val="922"/>
          <w:marRight w:val="0"/>
          <w:marTop w:val="40"/>
          <w:marBottom w:val="80"/>
          <w:divBdr>
            <w:top w:val="none" w:sz="0" w:space="0" w:color="auto"/>
            <w:left w:val="none" w:sz="0" w:space="0" w:color="auto"/>
            <w:bottom w:val="none" w:sz="0" w:space="0" w:color="auto"/>
            <w:right w:val="none" w:sz="0" w:space="0" w:color="auto"/>
          </w:divBdr>
        </w:div>
        <w:div w:id="606810700">
          <w:marLeft w:val="922"/>
          <w:marRight w:val="0"/>
          <w:marTop w:val="40"/>
          <w:marBottom w:val="80"/>
          <w:divBdr>
            <w:top w:val="none" w:sz="0" w:space="0" w:color="auto"/>
            <w:left w:val="none" w:sz="0" w:space="0" w:color="auto"/>
            <w:bottom w:val="none" w:sz="0" w:space="0" w:color="auto"/>
            <w:right w:val="none" w:sz="0" w:space="0" w:color="auto"/>
          </w:divBdr>
        </w:div>
        <w:div w:id="1752198876">
          <w:marLeft w:val="547"/>
          <w:marRight w:val="0"/>
          <w:marTop w:val="240"/>
          <w:marBottom w:val="40"/>
          <w:divBdr>
            <w:top w:val="none" w:sz="0" w:space="0" w:color="auto"/>
            <w:left w:val="none" w:sz="0" w:space="0" w:color="auto"/>
            <w:bottom w:val="none" w:sz="0" w:space="0" w:color="auto"/>
            <w:right w:val="none" w:sz="0" w:space="0" w:color="auto"/>
          </w:divBdr>
        </w:div>
      </w:divsChild>
    </w:div>
    <w:div w:id="504132066">
      <w:bodyDiv w:val="1"/>
      <w:marLeft w:val="0"/>
      <w:marRight w:val="0"/>
      <w:marTop w:val="0"/>
      <w:marBottom w:val="0"/>
      <w:divBdr>
        <w:top w:val="none" w:sz="0" w:space="0" w:color="auto"/>
        <w:left w:val="none" w:sz="0" w:space="0" w:color="auto"/>
        <w:bottom w:val="none" w:sz="0" w:space="0" w:color="auto"/>
        <w:right w:val="none" w:sz="0" w:space="0" w:color="auto"/>
      </w:divBdr>
      <w:divsChild>
        <w:div w:id="1001813690">
          <w:marLeft w:val="144"/>
          <w:marRight w:val="0"/>
          <w:marTop w:val="240"/>
          <w:marBottom w:val="40"/>
          <w:divBdr>
            <w:top w:val="none" w:sz="0" w:space="0" w:color="auto"/>
            <w:left w:val="none" w:sz="0" w:space="0" w:color="auto"/>
            <w:bottom w:val="none" w:sz="0" w:space="0" w:color="auto"/>
            <w:right w:val="none" w:sz="0" w:space="0" w:color="auto"/>
          </w:divBdr>
        </w:div>
        <w:div w:id="552742492">
          <w:marLeft w:val="144"/>
          <w:marRight w:val="0"/>
          <w:marTop w:val="0"/>
          <w:marBottom w:val="40"/>
          <w:divBdr>
            <w:top w:val="none" w:sz="0" w:space="0" w:color="auto"/>
            <w:left w:val="none" w:sz="0" w:space="0" w:color="auto"/>
            <w:bottom w:val="none" w:sz="0" w:space="0" w:color="auto"/>
            <w:right w:val="none" w:sz="0" w:space="0" w:color="auto"/>
          </w:divBdr>
        </w:div>
      </w:divsChild>
    </w:div>
    <w:div w:id="532038128">
      <w:bodyDiv w:val="1"/>
      <w:marLeft w:val="0"/>
      <w:marRight w:val="0"/>
      <w:marTop w:val="0"/>
      <w:marBottom w:val="0"/>
      <w:divBdr>
        <w:top w:val="none" w:sz="0" w:space="0" w:color="auto"/>
        <w:left w:val="none" w:sz="0" w:space="0" w:color="auto"/>
        <w:bottom w:val="none" w:sz="0" w:space="0" w:color="auto"/>
        <w:right w:val="none" w:sz="0" w:space="0" w:color="auto"/>
      </w:divBdr>
    </w:div>
    <w:div w:id="534315936">
      <w:bodyDiv w:val="1"/>
      <w:marLeft w:val="0"/>
      <w:marRight w:val="0"/>
      <w:marTop w:val="0"/>
      <w:marBottom w:val="0"/>
      <w:divBdr>
        <w:top w:val="none" w:sz="0" w:space="0" w:color="auto"/>
        <w:left w:val="none" w:sz="0" w:space="0" w:color="auto"/>
        <w:bottom w:val="none" w:sz="0" w:space="0" w:color="auto"/>
        <w:right w:val="none" w:sz="0" w:space="0" w:color="auto"/>
      </w:divBdr>
    </w:div>
    <w:div w:id="535698783">
      <w:bodyDiv w:val="1"/>
      <w:marLeft w:val="0"/>
      <w:marRight w:val="0"/>
      <w:marTop w:val="0"/>
      <w:marBottom w:val="0"/>
      <w:divBdr>
        <w:top w:val="none" w:sz="0" w:space="0" w:color="auto"/>
        <w:left w:val="none" w:sz="0" w:space="0" w:color="auto"/>
        <w:bottom w:val="none" w:sz="0" w:space="0" w:color="auto"/>
        <w:right w:val="none" w:sz="0" w:space="0" w:color="auto"/>
      </w:divBdr>
    </w:div>
    <w:div w:id="627862410">
      <w:bodyDiv w:val="1"/>
      <w:marLeft w:val="0"/>
      <w:marRight w:val="0"/>
      <w:marTop w:val="0"/>
      <w:marBottom w:val="0"/>
      <w:divBdr>
        <w:top w:val="none" w:sz="0" w:space="0" w:color="auto"/>
        <w:left w:val="none" w:sz="0" w:space="0" w:color="auto"/>
        <w:bottom w:val="none" w:sz="0" w:space="0" w:color="auto"/>
        <w:right w:val="none" w:sz="0" w:space="0" w:color="auto"/>
      </w:divBdr>
      <w:divsChild>
        <w:div w:id="688219309">
          <w:marLeft w:val="374"/>
          <w:marRight w:val="0"/>
          <w:marTop w:val="240"/>
          <w:marBottom w:val="40"/>
          <w:divBdr>
            <w:top w:val="none" w:sz="0" w:space="0" w:color="auto"/>
            <w:left w:val="none" w:sz="0" w:space="0" w:color="auto"/>
            <w:bottom w:val="none" w:sz="0" w:space="0" w:color="auto"/>
            <w:right w:val="none" w:sz="0" w:space="0" w:color="auto"/>
          </w:divBdr>
        </w:div>
        <w:div w:id="88964467">
          <w:marLeft w:val="374"/>
          <w:marRight w:val="0"/>
          <w:marTop w:val="240"/>
          <w:marBottom w:val="40"/>
          <w:divBdr>
            <w:top w:val="none" w:sz="0" w:space="0" w:color="auto"/>
            <w:left w:val="none" w:sz="0" w:space="0" w:color="auto"/>
            <w:bottom w:val="none" w:sz="0" w:space="0" w:color="auto"/>
            <w:right w:val="none" w:sz="0" w:space="0" w:color="auto"/>
          </w:divBdr>
        </w:div>
        <w:div w:id="1393650246">
          <w:marLeft w:val="374"/>
          <w:marRight w:val="0"/>
          <w:marTop w:val="240"/>
          <w:marBottom w:val="40"/>
          <w:divBdr>
            <w:top w:val="none" w:sz="0" w:space="0" w:color="auto"/>
            <w:left w:val="none" w:sz="0" w:space="0" w:color="auto"/>
            <w:bottom w:val="none" w:sz="0" w:space="0" w:color="auto"/>
            <w:right w:val="none" w:sz="0" w:space="0" w:color="auto"/>
          </w:divBdr>
        </w:div>
        <w:div w:id="1248345284">
          <w:marLeft w:val="374"/>
          <w:marRight w:val="0"/>
          <w:marTop w:val="240"/>
          <w:marBottom w:val="40"/>
          <w:divBdr>
            <w:top w:val="none" w:sz="0" w:space="0" w:color="auto"/>
            <w:left w:val="none" w:sz="0" w:space="0" w:color="auto"/>
            <w:bottom w:val="none" w:sz="0" w:space="0" w:color="auto"/>
            <w:right w:val="none" w:sz="0" w:space="0" w:color="auto"/>
          </w:divBdr>
        </w:div>
        <w:div w:id="1750271531">
          <w:marLeft w:val="374"/>
          <w:marRight w:val="0"/>
          <w:marTop w:val="240"/>
          <w:marBottom w:val="40"/>
          <w:divBdr>
            <w:top w:val="none" w:sz="0" w:space="0" w:color="auto"/>
            <w:left w:val="none" w:sz="0" w:space="0" w:color="auto"/>
            <w:bottom w:val="none" w:sz="0" w:space="0" w:color="auto"/>
            <w:right w:val="none" w:sz="0" w:space="0" w:color="auto"/>
          </w:divBdr>
        </w:div>
      </w:divsChild>
    </w:div>
    <w:div w:id="692461008">
      <w:bodyDiv w:val="1"/>
      <w:marLeft w:val="0"/>
      <w:marRight w:val="0"/>
      <w:marTop w:val="0"/>
      <w:marBottom w:val="0"/>
      <w:divBdr>
        <w:top w:val="none" w:sz="0" w:space="0" w:color="auto"/>
        <w:left w:val="none" w:sz="0" w:space="0" w:color="auto"/>
        <w:bottom w:val="none" w:sz="0" w:space="0" w:color="auto"/>
        <w:right w:val="none" w:sz="0" w:space="0" w:color="auto"/>
      </w:divBdr>
    </w:div>
    <w:div w:id="931353046">
      <w:bodyDiv w:val="1"/>
      <w:marLeft w:val="0"/>
      <w:marRight w:val="0"/>
      <w:marTop w:val="0"/>
      <w:marBottom w:val="0"/>
      <w:divBdr>
        <w:top w:val="none" w:sz="0" w:space="0" w:color="auto"/>
        <w:left w:val="none" w:sz="0" w:space="0" w:color="auto"/>
        <w:bottom w:val="none" w:sz="0" w:space="0" w:color="auto"/>
        <w:right w:val="none" w:sz="0" w:space="0" w:color="auto"/>
      </w:divBdr>
    </w:div>
    <w:div w:id="964508032">
      <w:bodyDiv w:val="1"/>
      <w:marLeft w:val="0"/>
      <w:marRight w:val="0"/>
      <w:marTop w:val="0"/>
      <w:marBottom w:val="0"/>
      <w:divBdr>
        <w:top w:val="none" w:sz="0" w:space="0" w:color="auto"/>
        <w:left w:val="none" w:sz="0" w:space="0" w:color="auto"/>
        <w:bottom w:val="none" w:sz="0" w:space="0" w:color="auto"/>
        <w:right w:val="none" w:sz="0" w:space="0" w:color="auto"/>
      </w:divBdr>
      <w:divsChild>
        <w:div w:id="1842088084">
          <w:marLeft w:val="374"/>
          <w:marRight w:val="0"/>
          <w:marTop w:val="240"/>
          <w:marBottom w:val="40"/>
          <w:divBdr>
            <w:top w:val="none" w:sz="0" w:space="0" w:color="auto"/>
            <w:left w:val="none" w:sz="0" w:space="0" w:color="auto"/>
            <w:bottom w:val="none" w:sz="0" w:space="0" w:color="auto"/>
            <w:right w:val="none" w:sz="0" w:space="0" w:color="auto"/>
          </w:divBdr>
        </w:div>
        <w:div w:id="496965664">
          <w:marLeft w:val="374"/>
          <w:marRight w:val="0"/>
          <w:marTop w:val="240"/>
          <w:marBottom w:val="40"/>
          <w:divBdr>
            <w:top w:val="none" w:sz="0" w:space="0" w:color="auto"/>
            <w:left w:val="none" w:sz="0" w:space="0" w:color="auto"/>
            <w:bottom w:val="none" w:sz="0" w:space="0" w:color="auto"/>
            <w:right w:val="none" w:sz="0" w:space="0" w:color="auto"/>
          </w:divBdr>
        </w:div>
        <w:div w:id="631981991">
          <w:marLeft w:val="835"/>
          <w:marRight w:val="0"/>
          <w:marTop w:val="40"/>
          <w:marBottom w:val="80"/>
          <w:divBdr>
            <w:top w:val="none" w:sz="0" w:space="0" w:color="auto"/>
            <w:left w:val="none" w:sz="0" w:space="0" w:color="auto"/>
            <w:bottom w:val="none" w:sz="0" w:space="0" w:color="auto"/>
            <w:right w:val="none" w:sz="0" w:space="0" w:color="auto"/>
          </w:divBdr>
        </w:div>
        <w:div w:id="230041719">
          <w:marLeft w:val="835"/>
          <w:marRight w:val="0"/>
          <w:marTop w:val="40"/>
          <w:marBottom w:val="80"/>
          <w:divBdr>
            <w:top w:val="none" w:sz="0" w:space="0" w:color="auto"/>
            <w:left w:val="none" w:sz="0" w:space="0" w:color="auto"/>
            <w:bottom w:val="none" w:sz="0" w:space="0" w:color="auto"/>
            <w:right w:val="none" w:sz="0" w:space="0" w:color="auto"/>
          </w:divBdr>
        </w:div>
        <w:div w:id="381517814">
          <w:marLeft w:val="374"/>
          <w:marRight w:val="0"/>
          <w:marTop w:val="240"/>
          <w:marBottom w:val="40"/>
          <w:divBdr>
            <w:top w:val="none" w:sz="0" w:space="0" w:color="auto"/>
            <w:left w:val="none" w:sz="0" w:space="0" w:color="auto"/>
            <w:bottom w:val="none" w:sz="0" w:space="0" w:color="auto"/>
            <w:right w:val="none" w:sz="0" w:space="0" w:color="auto"/>
          </w:divBdr>
        </w:div>
      </w:divsChild>
    </w:div>
    <w:div w:id="1038891817">
      <w:bodyDiv w:val="1"/>
      <w:marLeft w:val="0"/>
      <w:marRight w:val="0"/>
      <w:marTop w:val="0"/>
      <w:marBottom w:val="0"/>
      <w:divBdr>
        <w:top w:val="none" w:sz="0" w:space="0" w:color="auto"/>
        <w:left w:val="none" w:sz="0" w:space="0" w:color="auto"/>
        <w:bottom w:val="none" w:sz="0" w:space="0" w:color="auto"/>
        <w:right w:val="none" w:sz="0" w:space="0" w:color="auto"/>
      </w:divBdr>
    </w:div>
    <w:div w:id="1043292205">
      <w:bodyDiv w:val="1"/>
      <w:marLeft w:val="0"/>
      <w:marRight w:val="0"/>
      <w:marTop w:val="0"/>
      <w:marBottom w:val="0"/>
      <w:divBdr>
        <w:top w:val="none" w:sz="0" w:space="0" w:color="auto"/>
        <w:left w:val="none" w:sz="0" w:space="0" w:color="auto"/>
        <w:bottom w:val="none" w:sz="0" w:space="0" w:color="auto"/>
        <w:right w:val="none" w:sz="0" w:space="0" w:color="auto"/>
      </w:divBdr>
      <w:divsChild>
        <w:div w:id="1703245479">
          <w:marLeft w:val="374"/>
          <w:marRight w:val="0"/>
          <w:marTop w:val="240"/>
          <w:marBottom w:val="40"/>
          <w:divBdr>
            <w:top w:val="none" w:sz="0" w:space="0" w:color="auto"/>
            <w:left w:val="none" w:sz="0" w:space="0" w:color="auto"/>
            <w:bottom w:val="none" w:sz="0" w:space="0" w:color="auto"/>
            <w:right w:val="none" w:sz="0" w:space="0" w:color="auto"/>
          </w:divBdr>
        </w:div>
        <w:div w:id="1605186795">
          <w:marLeft w:val="374"/>
          <w:marRight w:val="0"/>
          <w:marTop w:val="240"/>
          <w:marBottom w:val="40"/>
          <w:divBdr>
            <w:top w:val="none" w:sz="0" w:space="0" w:color="auto"/>
            <w:left w:val="none" w:sz="0" w:space="0" w:color="auto"/>
            <w:bottom w:val="none" w:sz="0" w:space="0" w:color="auto"/>
            <w:right w:val="none" w:sz="0" w:space="0" w:color="auto"/>
          </w:divBdr>
        </w:div>
      </w:divsChild>
    </w:div>
    <w:div w:id="1125851574">
      <w:bodyDiv w:val="1"/>
      <w:marLeft w:val="0"/>
      <w:marRight w:val="0"/>
      <w:marTop w:val="0"/>
      <w:marBottom w:val="0"/>
      <w:divBdr>
        <w:top w:val="none" w:sz="0" w:space="0" w:color="auto"/>
        <w:left w:val="none" w:sz="0" w:space="0" w:color="auto"/>
        <w:bottom w:val="none" w:sz="0" w:space="0" w:color="auto"/>
        <w:right w:val="none" w:sz="0" w:space="0" w:color="auto"/>
      </w:divBdr>
      <w:divsChild>
        <w:div w:id="1089501449">
          <w:marLeft w:val="144"/>
          <w:marRight w:val="0"/>
          <w:marTop w:val="240"/>
          <w:marBottom w:val="40"/>
          <w:divBdr>
            <w:top w:val="none" w:sz="0" w:space="0" w:color="auto"/>
            <w:left w:val="none" w:sz="0" w:space="0" w:color="auto"/>
            <w:bottom w:val="none" w:sz="0" w:space="0" w:color="auto"/>
            <w:right w:val="none" w:sz="0" w:space="0" w:color="auto"/>
          </w:divBdr>
        </w:div>
        <w:div w:id="2061859738">
          <w:marLeft w:val="461"/>
          <w:marRight w:val="0"/>
          <w:marTop w:val="240"/>
          <w:marBottom w:val="40"/>
          <w:divBdr>
            <w:top w:val="none" w:sz="0" w:space="0" w:color="auto"/>
            <w:left w:val="none" w:sz="0" w:space="0" w:color="auto"/>
            <w:bottom w:val="none" w:sz="0" w:space="0" w:color="auto"/>
            <w:right w:val="none" w:sz="0" w:space="0" w:color="auto"/>
          </w:divBdr>
        </w:div>
        <w:div w:id="1441335709">
          <w:marLeft w:val="922"/>
          <w:marRight w:val="0"/>
          <w:marTop w:val="40"/>
          <w:marBottom w:val="80"/>
          <w:divBdr>
            <w:top w:val="none" w:sz="0" w:space="0" w:color="auto"/>
            <w:left w:val="none" w:sz="0" w:space="0" w:color="auto"/>
            <w:bottom w:val="none" w:sz="0" w:space="0" w:color="auto"/>
            <w:right w:val="none" w:sz="0" w:space="0" w:color="auto"/>
          </w:divBdr>
        </w:div>
        <w:div w:id="1542749235">
          <w:marLeft w:val="922"/>
          <w:marRight w:val="0"/>
          <w:marTop w:val="40"/>
          <w:marBottom w:val="80"/>
          <w:divBdr>
            <w:top w:val="none" w:sz="0" w:space="0" w:color="auto"/>
            <w:left w:val="none" w:sz="0" w:space="0" w:color="auto"/>
            <w:bottom w:val="none" w:sz="0" w:space="0" w:color="auto"/>
            <w:right w:val="none" w:sz="0" w:space="0" w:color="auto"/>
          </w:divBdr>
        </w:div>
        <w:div w:id="974259375">
          <w:marLeft w:val="461"/>
          <w:marRight w:val="0"/>
          <w:marTop w:val="40"/>
          <w:marBottom w:val="80"/>
          <w:divBdr>
            <w:top w:val="none" w:sz="0" w:space="0" w:color="auto"/>
            <w:left w:val="none" w:sz="0" w:space="0" w:color="auto"/>
            <w:bottom w:val="none" w:sz="0" w:space="0" w:color="auto"/>
            <w:right w:val="none" w:sz="0" w:space="0" w:color="auto"/>
          </w:divBdr>
        </w:div>
      </w:divsChild>
    </w:div>
    <w:div w:id="1400515459">
      <w:bodyDiv w:val="1"/>
      <w:marLeft w:val="0"/>
      <w:marRight w:val="0"/>
      <w:marTop w:val="0"/>
      <w:marBottom w:val="0"/>
      <w:divBdr>
        <w:top w:val="none" w:sz="0" w:space="0" w:color="auto"/>
        <w:left w:val="none" w:sz="0" w:space="0" w:color="auto"/>
        <w:bottom w:val="none" w:sz="0" w:space="0" w:color="auto"/>
        <w:right w:val="none" w:sz="0" w:space="0" w:color="auto"/>
      </w:divBdr>
      <w:divsChild>
        <w:div w:id="788009910">
          <w:marLeft w:val="374"/>
          <w:marRight w:val="0"/>
          <w:marTop w:val="240"/>
          <w:marBottom w:val="40"/>
          <w:divBdr>
            <w:top w:val="none" w:sz="0" w:space="0" w:color="auto"/>
            <w:left w:val="none" w:sz="0" w:space="0" w:color="auto"/>
            <w:bottom w:val="none" w:sz="0" w:space="0" w:color="auto"/>
            <w:right w:val="none" w:sz="0" w:space="0" w:color="auto"/>
          </w:divBdr>
        </w:div>
        <w:div w:id="1804077904">
          <w:marLeft w:val="835"/>
          <w:marRight w:val="0"/>
          <w:marTop w:val="40"/>
          <w:marBottom w:val="80"/>
          <w:divBdr>
            <w:top w:val="none" w:sz="0" w:space="0" w:color="auto"/>
            <w:left w:val="none" w:sz="0" w:space="0" w:color="auto"/>
            <w:bottom w:val="none" w:sz="0" w:space="0" w:color="auto"/>
            <w:right w:val="none" w:sz="0" w:space="0" w:color="auto"/>
          </w:divBdr>
        </w:div>
        <w:div w:id="967013325">
          <w:marLeft w:val="374"/>
          <w:marRight w:val="0"/>
          <w:marTop w:val="240"/>
          <w:marBottom w:val="40"/>
          <w:divBdr>
            <w:top w:val="none" w:sz="0" w:space="0" w:color="auto"/>
            <w:left w:val="none" w:sz="0" w:space="0" w:color="auto"/>
            <w:bottom w:val="none" w:sz="0" w:space="0" w:color="auto"/>
            <w:right w:val="none" w:sz="0" w:space="0" w:color="auto"/>
          </w:divBdr>
        </w:div>
        <w:div w:id="904684576">
          <w:marLeft w:val="374"/>
          <w:marRight w:val="0"/>
          <w:marTop w:val="240"/>
          <w:marBottom w:val="40"/>
          <w:divBdr>
            <w:top w:val="none" w:sz="0" w:space="0" w:color="auto"/>
            <w:left w:val="none" w:sz="0" w:space="0" w:color="auto"/>
            <w:bottom w:val="none" w:sz="0" w:space="0" w:color="auto"/>
            <w:right w:val="none" w:sz="0" w:space="0" w:color="auto"/>
          </w:divBdr>
        </w:div>
        <w:div w:id="708140968">
          <w:marLeft w:val="374"/>
          <w:marRight w:val="0"/>
          <w:marTop w:val="240"/>
          <w:marBottom w:val="40"/>
          <w:divBdr>
            <w:top w:val="none" w:sz="0" w:space="0" w:color="auto"/>
            <w:left w:val="none" w:sz="0" w:space="0" w:color="auto"/>
            <w:bottom w:val="none" w:sz="0" w:space="0" w:color="auto"/>
            <w:right w:val="none" w:sz="0" w:space="0" w:color="auto"/>
          </w:divBdr>
        </w:div>
      </w:divsChild>
    </w:div>
    <w:div w:id="1454249770">
      <w:bodyDiv w:val="1"/>
      <w:marLeft w:val="0"/>
      <w:marRight w:val="0"/>
      <w:marTop w:val="0"/>
      <w:marBottom w:val="0"/>
      <w:divBdr>
        <w:top w:val="none" w:sz="0" w:space="0" w:color="auto"/>
        <w:left w:val="none" w:sz="0" w:space="0" w:color="auto"/>
        <w:bottom w:val="none" w:sz="0" w:space="0" w:color="auto"/>
        <w:right w:val="none" w:sz="0" w:space="0" w:color="auto"/>
      </w:divBdr>
    </w:div>
    <w:div w:id="1464812314">
      <w:bodyDiv w:val="1"/>
      <w:marLeft w:val="0"/>
      <w:marRight w:val="0"/>
      <w:marTop w:val="0"/>
      <w:marBottom w:val="0"/>
      <w:divBdr>
        <w:top w:val="none" w:sz="0" w:space="0" w:color="auto"/>
        <w:left w:val="none" w:sz="0" w:space="0" w:color="auto"/>
        <w:bottom w:val="none" w:sz="0" w:space="0" w:color="auto"/>
        <w:right w:val="none" w:sz="0" w:space="0" w:color="auto"/>
      </w:divBdr>
      <w:divsChild>
        <w:div w:id="850752699">
          <w:marLeft w:val="605"/>
          <w:marRight w:val="0"/>
          <w:marTop w:val="240"/>
          <w:marBottom w:val="80"/>
          <w:divBdr>
            <w:top w:val="none" w:sz="0" w:space="0" w:color="auto"/>
            <w:left w:val="none" w:sz="0" w:space="0" w:color="auto"/>
            <w:bottom w:val="none" w:sz="0" w:space="0" w:color="auto"/>
            <w:right w:val="none" w:sz="0" w:space="0" w:color="auto"/>
          </w:divBdr>
        </w:div>
        <w:div w:id="1016887042">
          <w:marLeft w:val="605"/>
          <w:marRight w:val="0"/>
          <w:marTop w:val="240"/>
          <w:marBottom w:val="80"/>
          <w:divBdr>
            <w:top w:val="none" w:sz="0" w:space="0" w:color="auto"/>
            <w:left w:val="none" w:sz="0" w:space="0" w:color="auto"/>
            <w:bottom w:val="none" w:sz="0" w:space="0" w:color="auto"/>
            <w:right w:val="none" w:sz="0" w:space="0" w:color="auto"/>
          </w:divBdr>
        </w:div>
        <w:div w:id="2066754870">
          <w:marLeft w:val="605"/>
          <w:marRight w:val="0"/>
          <w:marTop w:val="240"/>
          <w:marBottom w:val="80"/>
          <w:divBdr>
            <w:top w:val="none" w:sz="0" w:space="0" w:color="auto"/>
            <w:left w:val="none" w:sz="0" w:space="0" w:color="auto"/>
            <w:bottom w:val="none" w:sz="0" w:space="0" w:color="auto"/>
            <w:right w:val="none" w:sz="0" w:space="0" w:color="auto"/>
          </w:divBdr>
        </w:div>
        <w:div w:id="500893014">
          <w:marLeft w:val="605"/>
          <w:marRight w:val="0"/>
          <w:marTop w:val="240"/>
          <w:marBottom w:val="80"/>
          <w:divBdr>
            <w:top w:val="none" w:sz="0" w:space="0" w:color="auto"/>
            <w:left w:val="none" w:sz="0" w:space="0" w:color="auto"/>
            <w:bottom w:val="none" w:sz="0" w:space="0" w:color="auto"/>
            <w:right w:val="none" w:sz="0" w:space="0" w:color="auto"/>
          </w:divBdr>
        </w:div>
        <w:div w:id="138503748">
          <w:marLeft w:val="605"/>
          <w:marRight w:val="0"/>
          <w:marTop w:val="240"/>
          <w:marBottom w:val="80"/>
          <w:divBdr>
            <w:top w:val="none" w:sz="0" w:space="0" w:color="auto"/>
            <w:left w:val="none" w:sz="0" w:space="0" w:color="auto"/>
            <w:bottom w:val="none" w:sz="0" w:space="0" w:color="auto"/>
            <w:right w:val="none" w:sz="0" w:space="0" w:color="auto"/>
          </w:divBdr>
        </w:div>
      </w:divsChild>
    </w:div>
    <w:div w:id="1537497815">
      <w:bodyDiv w:val="1"/>
      <w:marLeft w:val="0"/>
      <w:marRight w:val="0"/>
      <w:marTop w:val="0"/>
      <w:marBottom w:val="0"/>
      <w:divBdr>
        <w:top w:val="none" w:sz="0" w:space="0" w:color="auto"/>
        <w:left w:val="none" w:sz="0" w:space="0" w:color="auto"/>
        <w:bottom w:val="none" w:sz="0" w:space="0" w:color="auto"/>
        <w:right w:val="none" w:sz="0" w:space="0" w:color="auto"/>
      </w:divBdr>
      <w:divsChild>
        <w:div w:id="1186286495">
          <w:marLeft w:val="374"/>
          <w:marRight w:val="0"/>
          <w:marTop w:val="240"/>
          <w:marBottom w:val="40"/>
          <w:divBdr>
            <w:top w:val="none" w:sz="0" w:space="0" w:color="auto"/>
            <w:left w:val="none" w:sz="0" w:space="0" w:color="auto"/>
            <w:bottom w:val="none" w:sz="0" w:space="0" w:color="auto"/>
            <w:right w:val="none" w:sz="0" w:space="0" w:color="auto"/>
          </w:divBdr>
        </w:div>
        <w:div w:id="942806920">
          <w:marLeft w:val="374"/>
          <w:marRight w:val="0"/>
          <w:marTop w:val="240"/>
          <w:marBottom w:val="40"/>
          <w:divBdr>
            <w:top w:val="none" w:sz="0" w:space="0" w:color="auto"/>
            <w:left w:val="none" w:sz="0" w:space="0" w:color="auto"/>
            <w:bottom w:val="none" w:sz="0" w:space="0" w:color="auto"/>
            <w:right w:val="none" w:sz="0" w:space="0" w:color="auto"/>
          </w:divBdr>
        </w:div>
      </w:divsChild>
    </w:div>
    <w:div w:id="1676421824">
      <w:bodyDiv w:val="1"/>
      <w:marLeft w:val="0"/>
      <w:marRight w:val="0"/>
      <w:marTop w:val="0"/>
      <w:marBottom w:val="0"/>
      <w:divBdr>
        <w:top w:val="none" w:sz="0" w:space="0" w:color="auto"/>
        <w:left w:val="none" w:sz="0" w:space="0" w:color="auto"/>
        <w:bottom w:val="none" w:sz="0" w:space="0" w:color="auto"/>
        <w:right w:val="none" w:sz="0" w:space="0" w:color="auto"/>
      </w:divBdr>
      <w:divsChild>
        <w:div w:id="1263950509">
          <w:marLeft w:val="374"/>
          <w:marRight w:val="0"/>
          <w:marTop w:val="240"/>
          <w:marBottom w:val="40"/>
          <w:divBdr>
            <w:top w:val="none" w:sz="0" w:space="0" w:color="auto"/>
            <w:left w:val="none" w:sz="0" w:space="0" w:color="auto"/>
            <w:bottom w:val="none" w:sz="0" w:space="0" w:color="auto"/>
            <w:right w:val="none" w:sz="0" w:space="0" w:color="auto"/>
          </w:divBdr>
        </w:div>
        <w:div w:id="220604384">
          <w:marLeft w:val="835"/>
          <w:marRight w:val="0"/>
          <w:marTop w:val="40"/>
          <w:marBottom w:val="80"/>
          <w:divBdr>
            <w:top w:val="none" w:sz="0" w:space="0" w:color="auto"/>
            <w:left w:val="none" w:sz="0" w:space="0" w:color="auto"/>
            <w:bottom w:val="none" w:sz="0" w:space="0" w:color="auto"/>
            <w:right w:val="none" w:sz="0" w:space="0" w:color="auto"/>
          </w:divBdr>
        </w:div>
        <w:div w:id="1791975403">
          <w:marLeft w:val="835"/>
          <w:marRight w:val="0"/>
          <w:marTop w:val="40"/>
          <w:marBottom w:val="80"/>
          <w:divBdr>
            <w:top w:val="none" w:sz="0" w:space="0" w:color="auto"/>
            <w:left w:val="none" w:sz="0" w:space="0" w:color="auto"/>
            <w:bottom w:val="none" w:sz="0" w:space="0" w:color="auto"/>
            <w:right w:val="none" w:sz="0" w:space="0" w:color="auto"/>
          </w:divBdr>
        </w:div>
        <w:div w:id="1609657611">
          <w:marLeft w:val="374"/>
          <w:marRight w:val="0"/>
          <w:marTop w:val="240"/>
          <w:marBottom w:val="40"/>
          <w:divBdr>
            <w:top w:val="none" w:sz="0" w:space="0" w:color="auto"/>
            <w:left w:val="none" w:sz="0" w:space="0" w:color="auto"/>
            <w:bottom w:val="none" w:sz="0" w:space="0" w:color="auto"/>
            <w:right w:val="none" w:sz="0" w:space="0" w:color="auto"/>
          </w:divBdr>
        </w:div>
        <w:div w:id="1154371882">
          <w:marLeft w:val="374"/>
          <w:marRight w:val="0"/>
          <w:marTop w:val="240"/>
          <w:marBottom w:val="40"/>
          <w:divBdr>
            <w:top w:val="none" w:sz="0" w:space="0" w:color="auto"/>
            <w:left w:val="none" w:sz="0" w:space="0" w:color="auto"/>
            <w:bottom w:val="none" w:sz="0" w:space="0" w:color="auto"/>
            <w:right w:val="none" w:sz="0" w:space="0" w:color="auto"/>
          </w:divBdr>
        </w:div>
        <w:div w:id="1855265286">
          <w:marLeft w:val="374"/>
          <w:marRight w:val="0"/>
          <w:marTop w:val="240"/>
          <w:marBottom w:val="40"/>
          <w:divBdr>
            <w:top w:val="none" w:sz="0" w:space="0" w:color="auto"/>
            <w:left w:val="none" w:sz="0" w:space="0" w:color="auto"/>
            <w:bottom w:val="none" w:sz="0" w:space="0" w:color="auto"/>
            <w:right w:val="none" w:sz="0" w:space="0" w:color="auto"/>
          </w:divBdr>
        </w:div>
      </w:divsChild>
    </w:div>
    <w:div w:id="1732196029">
      <w:bodyDiv w:val="1"/>
      <w:marLeft w:val="0"/>
      <w:marRight w:val="0"/>
      <w:marTop w:val="0"/>
      <w:marBottom w:val="0"/>
      <w:divBdr>
        <w:top w:val="none" w:sz="0" w:space="0" w:color="auto"/>
        <w:left w:val="none" w:sz="0" w:space="0" w:color="auto"/>
        <w:bottom w:val="none" w:sz="0" w:space="0" w:color="auto"/>
        <w:right w:val="none" w:sz="0" w:space="0" w:color="auto"/>
      </w:divBdr>
    </w:div>
    <w:div w:id="1823540165">
      <w:bodyDiv w:val="1"/>
      <w:marLeft w:val="0"/>
      <w:marRight w:val="0"/>
      <w:marTop w:val="0"/>
      <w:marBottom w:val="0"/>
      <w:divBdr>
        <w:top w:val="none" w:sz="0" w:space="0" w:color="auto"/>
        <w:left w:val="none" w:sz="0" w:space="0" w:color="auto"/>
        <w:bottom w:val="none" w:sz="0" w:space="0" w:color="auto"/>
        <w:right w:val="none" w:sz="0" w:space="0" w:color="auto"/>
      </w:divBdr>
      <w:divsChild>
        <w:div w:id="18895834">
          <w:marLeft w:val="374"/>
          <w:marRight w:val="0"/>
          <w:marTop w:val="240"/>
          <w:marBottom w:val="40"/>
          <w:divBdr>
            <w:top w:val="none" w:sz="0" w:space="0" w:color="auto"/>
            <w:left w:val="none" w:sz="0" w:space="0" w:color="auto"/>
            <w:bottom w:val="none" w:sz="0" w:space="0" w:color="auto"/>
            <w:right w:val="none" w:sz="0" w:space="0" w:color="auto"/>
          </w:divBdr>
        </w:div>
        <w:div w:id="1938711282">
          <w:marLeft w:val="374"/>
          <w:marRight w:val="0"/>
          <w:marTop w:val="240"/>
          <w:marBottom w:val="40"/>
          <w:divBdr>
            <w:top w:val="none" w:sz="0" w:space="0" w:color="auto"/>
            <w:left w:val="none" w:sz="0" w:space="0" w:color="auto"/>
            <w:bottom w:val="none" w:sz="0" w:space="0" w:color="auto"/>
            <w:right w:val="none" w:sz="0" w:space="0" w:color="auto"/>
          </w:divBdr>
        </w:div>
        <w:div w:id="273024443">
          <w:marLeft w:val="374"/>
          <w:marRight w:val="0"/>
          <w:marTop w:val="240"/>
          <w:marBottom w:val="40"/>
          <w:divBdr>
            <w:top w:val="none" w:sz="0" w:space="0" w:color="auto"/>
            <w:left w:val="none" w:sz="0" w:space="0" w:color="auto"/>
            <w:bottom w:val="none" w:sz="0" w:space="0" w:color="auto"/>
            <w:right w:val="none" w:sz="0" w:space="0" w:color="auto"/>
          </w:divBdr>
        </w:div>
        <w:div w:id="356350407">
          <w:marLeft w:val="374"/>
          <w:marRight w:val="0"/>
          <w:marTop w:val="240"/>
          <w:marBottom w:val="40"/>
          <w:divBdr>
            <w:top w:val="none" w:sz="0" w:space="0" w:color="auto"/>
            <w:left w:val="none" w:sz="0" w:space="0" w:color="auto"/>
            <w:bottom w:val="none" w:sz="0" w:space="0" w:color="auto"/>
            <w:right w:val="none" w:sz="0" w:space="0" w:color="auto"/>
          </w:divBdr>
        </w:div>
        <w:div w:id="716047153">
          <w:marLeft w:val="374"/>
          <w:marRight w:val="0"/>
          <w:marTop w:val="240"/>
          <w:marBottom w:val="40"/>
          <w:divBdr>
            <w:top w:val="none" w:sz="0" w:space="0" w:color="auto"/>
            <w:left w:val="none" w:sz="0" w:space="0" w:color="auto"/>
            <w:bottom w:val="none" w:sz="0" w:space="0" w:color="auto"/>
            <w:right w:val="none" w:sz="0" w:space="0" w:color="auto"/>
          </w:divBdr>
        </w:div>
      </w:divsChild>
    </w:div>
    <w:div w:id="1904019338">
      <w:bodyDiv w:val="1"/>
      <w:marLeft w:val="0"/>
      <w:marRight w:val="0"/>
      <w:marTop w:val="0"/>
      <w:marBottom w:val="0"/>
      <w:divBdr>
        <w:top w:val="none" w:sz="0" w:space="0" w:color="auto"/>
        <w:left w:val="none" w:sz="0" w:space="0" w:color="auto"/>
        <w:bottom w:val="none" w:sz="0" w:space="0" w:color="auto"/>
        <w:right w:val="none" w:sz="0" w:space="0" w:color="auto"/>
      </w:divBdr>
      <w:divsChild>
        <w:div w:id="501286531">
          <w:marLeft w:val="374"/>
          <w:marRight w:val="0"/>
          <w:marTop w:val="240"/>
          <w:marBottom w:val="40"/>
          <w:divBdr>
            <w:top w:val="none" w:sz="0" w:space="0" w:color="auto"/>
            <w:left w:val="none" w:sz="0" w:space="0" w:color="auto"/>
            <w:bottom w:val="none" w:sz="0" w:space="0" w:color="auto"/>
            <w:right w:val="none" w:sz="0" w:space="0" w:color="auto"/>
          </w:divBdr>
        </w:div>
        <w:div w:id="1748652604">
          <w:marLeft w:val="374"/>
          <w:marRight w:val="0"/>
          <w:marTop w:val="240"/>
          <w:marBottom w:val="40"/>
          <w:divBdr>
            <w:top w:val="none" w:sz="0" w:space="0" w:color="auto"/>
            <w:left w:val="none" w:sz="0" w:space="0" w:color="auto"/>
            <w:bottom w:val="none" w:sz="0" w:space="0" w:color="auto"/>
            <w:right w:val="none" w:sz="0" w:space="0" w:color="auto"/>
          </w:divBdr>
        </w:div>
        <w:div w:id="300041564">
          <w:marLeft w:val="374"/>
          <w:marRight w:val="0"/>
          <w:marTop w:val="240"/>
          <w:marBottom w:val="40"/>
          <w:divBdr>
            <w:top w:val="none" w:sz="0" w:space="0" w:color="auto"/>
            <w:left w:val="none" w:sz="0" w:space="0" w:color="auto"/>
            <w:bottom w:val="none" w:sz="0" w:space="0" w:color="auto"/>
            <w:right w:val="none" w:sz="0" w:space="0" w:color="auto"/>
          </w:divBdr>
        </w:div>
      </w:divsChild>
    </w:div>
    <w:div w:id="20279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Additional_Waivers_for_CPD_Grant_Programs_to_Prevent_COVID-19_Spread_and_Mitigate_COVID-19_Economic_Impacts.pdf?utm_source=HUD+Exchange+Mailing+List&amp;utm_campaign=6dafa660a1-SNAPS-COVID-19-Digest-05-26-2020&amp;utm_medium=email&amp;utm_term=0_f32b935a5f-6dafa660a1-18679157" TargetMode="External"/><Relationship Id="rId13" Type="http://schemas.openxmlformats.org/officeDocument/2006/relationships/hyperlink" Target="mailto:ctboscoc@gmail.com" TargetMode="External"/><Relationship Id="rId18" Type="http://schemas.openxmlformats.org/officeDocument/2006/relationships/hyperlink" Target="https://www.ctbos.org/wp-content/uploads/2020/04/CTBOS-Disabling-cond.verification-w.-self-certv6.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pplewebdata://A22458A4-73D2-4438-8274-47D41752B52C/-%20https:/www.cceh.org/provider-resources/webinars" TargetMode="External"/><Relationship Id="rId7" Type="http://schemas.openxmlformats.org/officeDocument/2006/relationships/endnotes" Target="endnotes.xml"/><Relationship Id="rId12" Type="http://schemas.openxmlformats.org/officeDocument/2006/relationships/hyperlink" Target="https://www.ctbos.org/wp-content/uploads/2020/05/Waiver-Notif-Template-v6.docx" TargetMode="External"/><Relationship Id="rId17" Type="http://schemas.openxmlformats.org/officeDocument/2006/relationships/hyperlink" Target="http://www.ctbos.org/wp-content/uploads/2019/12/Disabling-condition-CT-BOS-CoC-Form-re.-10.10.1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bos.org/wp-content/uploads/2019/12/Disabling-condition-CT-BOS-CoC-Form-re.-10.10.19.pdf" TargetMode="External"/><Relationship Id="rId20" Type="http://schemas.openxmlformats.org/officeDocument/2006/relationships/hyperlink" Target="https://uwc.211ct.org/utility-shut-of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_COVID-19WaiverHAT@hud.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tbos.org/wp-content/uploads/2020/05/Sample-Emergency-Policy-CTBOS-v7.docx" TargetMode="External"/><Relationship Id="rId23" Type="http://schemas.openxmlformats.org/officeDocument/2006/relationships/footer" Target="footer1.xml"/><Relationship Id="rId10" Type="http://schemas.openxmlformats.org/officeDocument/2006/relationships/hyperlink" Target="mailto:ctboscoc@gmail.com" TargetMode="External"/><Relationship Id="rId19" Type="http://schemas.openxmlformats.org/officeDocument/2006/relationships/hyperlink" Target="https://www.hudexchange.info/resource/4424/coc-rent-reasonableness-and-fair-market-rent/" TargetMode="External"/><Relationship Id="rId4" Type="http://schemas.openxmlformats.org/officeDocument/2006/relationships/settings" Target="settings.xml"/><Relationship Id="rId9" Type="http://schemas.openxmlformats.org/officeDocument/2006/relationships/hyperlink" Target="https://hudexchange.us5.list-manage.com/track/click?u=87d7c8afc03ba69ee70d865b9&amp;id=c7eebd3c89&amp;e=330d06219a" TargetMode="External"/><Relationship Id="rId14" Type="http://schemas.openxmlformats.org/officeDocument/2006/relationships/hyperlink" Target="https://www.ctbos.org/wp-content/uploads/2020/05/Sample-Emergency-Policy-CTBOS-v7.docx" TargetMode="External"/><Relationship Id="rId22" Type="http://schemas.openxmlformats.org/officeDocument/2006/relationships/hyperlink" Target="https://www.hudexchange.info/programs/coc/covid-19-grant-agreement-amend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D3E5-FB87-463F-8B93-0D2588E3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3760</Words>
  <Characters>21435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Shannon Quinn-Sheeran</cp:lastModifiedBy>
  <cp:revision>2</cp:revision>
  <dcterms:created xsi:type="dcterms:W3CDTF">2020-05-29T13:10:00Z</dcterms:created>
  <dcterms:modified xsi:type="dcterms:W3CDTF">2020-05-29T13:10:00Z</dcterms:modified>
</cp:coreProperties>
</file>