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A314" w14:textId="77777777" w:rsidR="0067286B" w:rsidRPr="00EC479E" w:rsidRDefault="0067286B" w:rsidP="00EC5E58">
      <w:pPr>
        <w:pStyle w:val="Title"/>
        <w:jc w:val="center"/>
        <w:rPr>
          <w:rFonts w:cstheme="majorHAnsi"/>
          <w:b/>
          <w:bCs/>
          <w:color w:val="2F5496" w:themeColor="accent1" w:themeShade="BF"/>
          <w:sz w:val="40"/>
          <w:szCs w:val="40"/>
          <w:u w:val="single"/>
        </w:rPr>
      </w:pPr>
      <w:bookmarkStart w:id="0" w:name="_Hlk38464812"/>
      <w:r w:rsidRPr="00EC479E">
        <w:rPr>
          <w:rFonts w:ascii="Calibri" w:hAnsi="Calibri" w:cs="Calibri"/>
          <w:b/>
          <w:bCs/>
          <w:sz w:val="40"/>
          <w:szCs w:val="40"/>
          <w:u w:val="single"/>
        </w:rPr>
        <w:t>Sample Emergency Operation Policies</w:t>
      </w:r>
    </w:p>
    <w:p w14:paraId="51725287" w14:textId="77777777" w:rsidR="00A43EB9" w:rsidRDefault="00D8557C" w:rsidP="002D5DC5">
      <w:pPr>
        <w:pStyle w:val="Title"/>
        <w:jc w:val="center"/>
        <w:rPr>
          <w:rFonts w:cstheme="majorHAnsi"/>
          <w:i/>
          <w:iCs/>
          <w:color w:val="000000" w:themeColor="text1"/>
          <w:sz w:val="28"/>
          <w:szCs w:val="28"/>
        </w:rPr>
      </w:pPr>
      <w:r w:rsidRPr="00D8557C">
        <w:rPr>
          <w:rFonts w:cstheme="majorHAnsi"/>
          <w:i/>
          <w:iCs/>
          <w:color w:val="000000" w:themeColor="text1"/>
          <w:sz w:val="28"/>
          <w:szCs w:val="28"/>
        </w:rPr>
        <w:t xml:space="preserve">Updated to include </w:t>
      </w:r>
      <w:r w:rsidR="00B659A6">
        <w:rPr>
          <w:rFonts w:cstheme="majorHAnsi"/>
          <w:i/>
          <w:iCs/>
          <w:color w:val="000000" w:themeColor="text1"/>
          <w:sz w:val="28"/>
          <w:szCs w:val="28"/>
        </w:rPr>
        <w:t xml:space="preserve">all </w:t>
      </w:r>
      <w:r w:rsidR="004065EE">
        <w:rPr>
          <w:rFonts w:cstheme="majorHAnsi"/>
          <w:i/>
          <w:iCs/>
          <w:color w:val="000000" w:themeColor="text1"/>
          <w:sz w:val="28"/>
          <w:szCs w:val="28"/>
        </w:rPr>
        <w:t xml:space="preserve">CoC and ESG </w:t>
      </w:r>
      <w:r w:rsidRPr="00D8557C">
        <w:rPr>
          <w:rFonts w:cstheme="majorHAnsi"/>
          <w:i/>
          <w:iCs/>
          <w:color w:val="000000" w:themeColor="text1"/>
          <w:sz w:val="28"/>
          <w:szCs w:val="28"/>
        </w:rPr>
        <w:t xml:space="preserve">waivers issued </w:t>
      </w:r>
    </w:p>
    <w:p w14:paraId="14CD0B7F" w14:textId="439E93D1" w:rsidR="00D8557C" w:rsidRPr="00EC5E58" w:rsidRDefault="00D8557C" w:rsidP="00EC5E58">
      <w:pPr>
        <w:pStyle w:val="Title"/>
        <w:jc w:val="center"/>
        <w:rPr>
          <w:rFonts w:cstheme="majorHAnsi"/>
          <w:i/>
          <w:iCs/>
          <w:color w:val="000000" w:themeColor="text1"/>
          <w:sz w:val="28"/>
          <w:szCs w:val="28"/>
        </w:rPr>
      </w:pPr>
      <w:r w:rsidRPr="00D8557C">
        <w:rPr>
          <w:rFonts w:cstheme="majorHAnsi"/>
          <w:i/>
          <w:iCs/>
          <w:color w:val="000000" w:themeColor="text1"/>
          <w:sz w:val="28"/>
          <w:szCs w:val="28"/>
        </w:rPr>
        <w:t xml:space="preserve">by HUD on </w:t>
      </w:r>
      <w:r w:rsidR="00B659A6">
        <w:rPr>
          <w:rFonts w:cstheme="majorHAnsi"/>
          <w:i/>
          <w:iCs/>
          <w:color w:val="000000" w:themeColor="text1"/>
          <w:sz w:val="28"/>
          <w:szCs w:val="28"/>
        </w:rPr>
        <w:t>3/31/20</w:t>
      </w:r>
      <w:r w:rsidR="004E22E8">
        <w:rPr>
          <w:rFonts w:cstheme="majorHAnsi"/>
          <w:i/>
          <w:iCs/>
          <w:color w:val="000000" w:themeColor="text1"/>
          <w:sz w:val="28"/>
          <w:szCs w:val="28"/>
        </w:rPr>
        <w:t>,</w:t>
      </w:r>
      <w:r w:rsidR="00B659A6">
        <w:rPr>
          <w:rFonts w:cstheme="majorHAnsi"/>
          <w:i/>
          <w:iCs/>
          <w:color w:val="000000" w:themeColor="text1"/>
          <w:sz w:val="28"/>
          <w:szCs w:val="28"/>
        </w:rPr>
        <w:t xml:space="preserve"> </w:t>
      </w:r>
      <w:r w:rsidRPr="00D8557C">
        <w:rPr>
          <w:rFonts w:cstheme="majorHAnsi"/>
          <w:i/>
          <w:iCs/>
          <w:color w:val="000000" w:themeColor="text1"/>
          <w:sz w:val="28"/>
          <w:szCs w:val="28"/>
        </w:rPr>
        <w:t>5/22/20</w:t>
      </w:r>
      <w:r w:rsidR="004E22E8">
        <w:rPr>
          <w:rFonts w:cstheme="majorHAnsi"/>
          <w:i/>
          <w:iCs/>
          <w:color w:val="000000" w:themeColor="text1"/>
          <w:sz w:val="28"/>
          <w:szCs w:val="28"/>
        </w:rPr>
        <w:t>, and 9/30</w:t>
      </w:r>
      <w:r w:rsidR="00A43EB9">
        <w:rPr>
          <w:rFonts w:cstheme="majorHAnsi"/>
          <w:i/>
          <w:iCs/>
          <w:color w:val="000000" w:themeColor="text1"/>
          <w:sz w:val="28"/>
          <w:szCs w:val="28"/>
        </w:rPr>
        <w:t>/</w:t>
      </w:r>
      <w:r w:rsidR="004E22E8">
        <w:rPr>
          <w:rFonts w:cstheme="majorHAnsi"/>
          <w:i/>
          <w:iCs/>
          <w:color w:val="000000" w:themeColor="text1"/>
          <w:sz w:val="28"/>
          <w:szCs w:val="28"/>
        </w:rPr>
        <w:t>20</w:t>
      </w:r>
    </w:p>
    <w:sdt>
      <w:sdtPr>
        <w:rPr>
          <w:rFonts w:asciiTheme="minorHAnsi" w:eastAsiaTheme="minorHAnsi" w:hAnsiTheme="minorHAnsi" w:cstheme="minorBidi"/>
          <w:b w:val="0"/>
          <w:bCs w:val="0"/>
          <w:color w:val="auto"/>
          <w:sz w:val="22"/>
          <w:szCs w:val="22"/>
        </w:rPr>
        <w:id w:val="851607561"/>
        <w:docPartObj>
          <w:docPartGallery w:val="Table of Contents"/>
          <w:docPartUnique/>
        </w:docPartObj>
      </w:sdtPr>
      <w:sdtEndPr>
        <w:rPr>
          <w:noProof/>
        </w:rPr>
      </w:sdtEndPr>
      <w:sdtContent>
        <w:p w14:paraId="7FB16E65" w14:textId="04CF223D" w:rsidR="00DE1145" w:rsidRDefault="00DE1145" w:rsidP="002D5DC5">
          <w:pPr>
            <w:pStyle w:val="TOCHeading"/>
            <w:jc w:val="both"/>
          </w:pPr>
          <w:r>
            <w:t>Table of Contents</w:t>
          </w:r>
        </w:p>
        <w:p w14:paraId="1C73904D" w14:textId="5F07F96B" w:rsidR="00EC5E58" w:rsidRPr="00EC5E58" w:rsidRDefault="00DE1145">
          <w:pPr>
            <w:pStyle w:val="TOC1"/>
            <w:tabs>
              <w:tab w:val="right" w:leader="dot" w:pos="9350"/>
            </w:tabs>
            <w:rPr>
              <w:rFonts w:eastAsiaTheme="minorEastAsia" w:cstheme="minorBidi"/>
              <w:b w:val="0"/>
              <w:bCs w:val="0"/>
              <w:i w:val="0"/>
              <w:iCs w:val="0"/>
              <w:noProof/>
              <w:sz w:val="22"/>
              <w:szCs w:val="22"/>
            </w:rPr>
          </w:pPr>
          <w:r w:rsidRPr="00EC5E58">
            <w:rPr>
              <w:b w:val="0"/>
              <w:bCs w:val="0"/>
              <w:sz w:val="22"/>
              <w:szCs w:val="22"/>
            </w:rPr>
            <w:fldChar w:fldCharType="begin"/>
          </w:r>
          <w:r w:rsidRPr="00EC5E58">
            <w:rPr>
              <w:sz w:val="22"/>
              <w:szCs w:val="22"/>
            </w:rPr>
            <w:instrText xml:space="preserve"> TOC \o "1-3" \h \z \u </w:instrText>
          </w:r>
          <w:r w:rsidRPr="00EC5E58">
            <w:rPr>
              <w:b w:val="0"/>
              <w:bCs w:val="0"/>
              <w:sz w:val="22"/>
              <w:szCs w:val="22"/>
            </w:rPr>
            <w:fldChar w:fldCharType="separate"/>
          </w:r>
          <w:hyperlink w:anchor="_Toc52973325" w:history="1">
            <w:r w:rsidR="00EC5E58" w:rsidRPr="00EC5E58">
              <w:rPr>
                <w:rStyle w:val="Hyperlink"/>
                <w:noProof/>
                <w:sz w:val="22"/>
                <w:szCs w:val="22"/>
              </w:rPr>
              <w:t>Background</w:t>
            </w:r>
            <w:r w:rsidR="00EC5E58" w:rsidRPr="00EC5E58">
              <w:rPr>
                <w:noProof/>
                <w:webHidden/>
                <w:sz w:val="22"/>
                <w:szCs w:val="22"/>
              </w:rPr>
              <w:tab/>
            </w:r>
            <w:r w:rsidR="00EC5E58" w:rsidRPr="00EC5E58">
              <w:rPr>
                <w:noProof/>
                <w:webHidden/>
                <w:sz w:val="22"/>
                <w:szCs w:val="22"/>
              </w:rPr>
              <w:fldChar w:fldCharType="begin"/>
            </w:r>
            <w:r w:rsidR="00EC5E58" w:rsidRPr="00EC5E58">
              <w:rPr>
                <w:noProof/>
                <w:webHidden/>
                <w:sz w:val="22"/>
                <w:szCs w:val="22"/>
              </w:rPr>
              <w:instrText xml:space="preserve"> PAGEREF _Toc52973325 \h </w:instrText>
            </w:r>
            <w:r w:rsidR="00EC5E58" w:rsidRPr="00EC5E58">
              <w:rPr>
                <w:noProof/>
                <w:webHidden/>
                <w:sz w:val="22"/>
                <w:szCs w:val="22"/>
              </w:rPr>
            </w:r>
            <w:r w:rsidR="00EC5E58" w:rsidRPr="00EC5E58">
              <w:rPr>
                <w:noProof/>
                <w:webHidden/>
                <w:sz w:val="22"/>
                <w:szCs w:val="22"/>
              </w:rPr>
              <w:fldChar w:fldCharType="separate"/>
            </w:r>
            <w:r w:rsidR="00EC5E58" w:rsidRPr="00EC5E58">
              <w:rPr>
                <w:noProof/>
                <w:webHidden/>
                <w:sz w:val="22"/>
                <w:szCs w:val="22"/>
              </w:rPr>
              <w:t>3</w:t>
            </w:r>
            <w:r w:rsidR="00EC5E58" w:rsidRPr="00EC5E58">
              <w:rPr>
                <w:noProof/>
                <w:webHidden/>
                <w:sz w:val="22"/>
                <w:szCs w:val="22"/>
              </w:rPr>
              <w:fldChar w:fldCharType="end"/>
            </w:r>
          </w:hyperlink>
        </w:p>
        <w:p w14:paraId="18739265" w14:textId="6A38D044" w:rsidR="00EC5E58" w:rsidRPr="00EC5E58" w:rsidRDefault="00351F1E">
          <w:pPr>
            <w:pStyle w:val="TOC1"/>
            <w:tabs>
              <w:tab w:val="right" w:leader="dot" w:pos="9350"/>
            </w:tabs>
            <w:rPr>
              <w:rFonts w:eastAsiaTheme="minorEastAsia" w:cstheme="minorBidi"/>
              <w:b w:val="0"/>
              <w:bCs w:val="0"/>
              <w:i w:val="0"/>
              <w:iCs w:val="0"/>
              <w:noProof/>
              <w:sz w:val="22"/>
              <w:szCs w:val="22"/>
            </w:rPr>
          </w:pPr>
          <w:hyperlink w:anchor="_Toc52973326" w:history="1">
            <w:r w:rsidR="00EC5E58" w:rsidRPr="00EC5E58">
              <w:rPr>
                <w:rStyle w:val="Hyperlink"/>
                <w:noProof/>
                <w:sz w:val="22"/>
                <w:szCs w:val="22"/>
              </w:rPr>
              <w:t>Instructions</w:t>
            </w:r>
            <w:r w:rsidR="00EC5E58" w:rsidRPr="00EC5E58">
              <w:rPr>
                <w:noProof/>
                <w:webHidden/>
                <w:sz w:val="22"/>
                <w:szCs w:val="22"/>
              </w:rPr>
              <w:tab/>
            </w:r>
            <w:r w:rsidR="00EC5E58" w:rsidRPr="00EC5E58">
              <w:rPr>
                <w:noProof/>
                <w:webHidden/>
                <w:sz w:val="22"/>
                <w:szCs w:val="22"/>
              </w:rPr>
              <w:fldChar w:fldCharType="begin"/>
            </w:r>
            <w:r w:rsidR="00EC5E58" w:rsidRPr="00EC5E58">
              <w:rPr>
                <w:noProof/>
                <w:webHidden/>
                <w:sz w:val="22"/>
                <w:szCs w:val="22"/>
              </w:rPr>
              <w:instrText xml:space="preserve"> PAGEREF _Toc52973326 \h </w:instrText>
            </w:r>
            <w:r w:rsidR="00EC5E58" w:rsidRPr="00EC5E58">
              <w:rPr>
                <w:noProof/>
                <w:webHidden/>
                <w:sz w:val="22"/>
                <w:szCs w:val="22"/>
              </w:rPr>
            </w:r>
            <w:r w:rsidR="00EC5E58" w:rsidRPr="00EC5E58">
              <w:rPr>
                <w:noProof/>
                <w:webHidden/>
                <w:sz w:val="22"/>
                <w:szCs w:val="22"/>
              </w:rPr>
              <w:fldChar w:fldCharType="separate"/>
            </w:r>
            <w:r w:rsidR="00EC5E58" w:rsidRPr="00EC5E58">
              <w:rPr>
                <w:noProof/>
                <w:webHidden/>
                <w:sz w:val="22"/>
                <w:szCs w:val="22"/>
              </w:rPr>
              <w:t>3</w:t>
            </w:r>
            <w:r w:rsidR="00EC5E58" w:rsidRPr="00EC5E58">
              <w:rPr>
                <w:noProof/>
                <w:webHidden/>
                <w:sz w:val="22"/>
                <w:szCs w:val="22"/>
              </w:rPr>
              <w:fldChar w:fldCharType="end"/>
            </w:r>
          </w:hyperlink>
        </w:p>
        <w:p w14:paraId="24C3FDEA" w14:textId="52439848" w:rsidR="00EC5E58" w:rsidRPr="00EC5E58" w:rsidRDefault="00351F1E">
          <w:pPr>
            <w:pStyle w:val="TOC1"/>
            <w:tabs>
              <w:tab w:val="right" w:leader="dot" w:pos="9350"/>
            </w:tabs>
            <w:rPr>
              <w:rFonts w:eastAsiaTheme="minorEastAsia" w:cstheme="minorBidi"/>
              <w:b w:val="0"/>
              <w:bCs w:val="0"/>
              <w:i w:val="0"/>
              <w:iCs w:val="0"/>
              <w:noProof/>
              <w:sz w:val="22"/>
              <w:szCs w:val="22"/>
            </w:rPr>
          </w:pPr>
          <w:hyperlink w:anchor="_Toc52973327" w:history="1">
            <w:r w:rsidR="00EC5E58" w:rsidRPr="00EC5E58">
              <w:rPr>
                <w:rStyle w:val="Hyperlink"/>
                <w:noProof/>
                <w:sz w:val="22"/>
                <w:szCs w:val="22"/>
              </w:rPr>
              <w:t>SAMPLE Policies for Emergency Operation of Homeless Assistance Programs in the Event of Public Heath Emergencies or Natural Disasters</w:t>
            </w:r>
            <w:r w:rsidR="00EC5E58" w:rsidRPr="00EC5E58">
              <w:rPr>
                <w:noProof/>
                <w:webHidden/>
                <w:sz w:val="22"/>
                <w:szCs w:val="22"/>
              </w:rPr>
              <w:tab/>
            </w:r>
            <w:r w:rsidR="00EC5E58" w:rsidRPr="00EC5E58">
              <w:rPr>
                <w:noProof/>
                <w:webHidden/>
                <w:sz w:val="22"/>
                <w:szCs w:val="22"/>
              </w:rPr>
              <w:fldChar w:fldCharType="begin"/>
            </w:r>
            <w:r w:rsidR="00EC5E58" w:rsidRPr="00EC5E58">
              <w:rPr>
                <w:noProof/>
                <w:webHidden/>
                <w:sz w:val="22"/>
                <w:szCs w:val="22"/>
              </w:rPr>
              <w:instrText xml:space="preserve"> PAGEREF _Toc52973327 \h </w:instrText>
            </w:r>
            <w:r w:rsidR="00EC5E58" w:rsidRPr="00EC5E58">
              <w:rPr>
                <w:noProof/>
                <w:webHidden/>
                <w:sz w:val="22"/>
                <w:szCs w:val="22"/>
              </w:rPr>
            </w:r>
            <w:r w:rsidR="00EC5E58" w:rsidRPr="00EC5E58">
              <w:rPr>
                <w:noProof/>
                <w:webHidden/>
                <w:sz w:val="22"/>
                <w:szCs w:val="22"/>
              </w:rPr>
              <w:fldChar w:fldCharType="separate"/>
            </w:r>
            <w:r w:rsidR="00EC5E58" w:rsidRPr="00EC5E58">
              <w:rPr>
                <w:noProof/>
                <w:webHidden/>
                <w:sz w:val="22"/>
                <w:szCs w:val="22"/>
              </w:rPr>
              <w:t>4</w:t>
            </w:r>
            <w:r w:rsidR="00EC5E58" w:rsidRPr="00EC5E58">
              <w:rPr>
                <w:noProof/>
                <w:webHidden/>
                <w:sz w:val="22"/>
                <w:szCs w:val="22"/>
              </w:rPr>
              <w:fldChar w:fldCharType="end"/>
            </w:r>
          </w:hyperlink>
        </w:p>
        <w:p w14:paraId="0DF0CFF4" w14:textId="1449CFE9" w:rsidR="00EC5E58" w:rsidRPr="00EC5E58" w:rsidRDefault="00351F1E">
          <w:pPr>
            <w:pStyle w:val="TOC1"/>
            <w:tabs>
              <w:tab w:val="right" w:leader="dot" w:pos="9350"/>
            </w:tabs>
            <w:rPr>
              <w:rFonts w:eastAsiaTheme="minorEastAsia" w:cstheme="minorBidi"/>
              <w:b w:val="0"/>
              <w:bCs w:val="0"/>
              <w:i w:val="0"/>
              <w:iCs w:val="0"/>
              <w:noProof/>
              <w:sz w:val="22"/>
              <w:szCs w:val="22"/>
            </w:rPr>
          </w:pPr>
          <w:hyperlink w:anchor="_Toc52973328" w:history="1">
            <w:r w:rsidR="00EC5E58" w:rsidRPr="00EC5E58">
              <w:rPr>
                <w:rStyle w:val="Hyperlink"/>
                <w:noProof/>
                <w:sz w:val="22"/>
                <w:szCs w:val="22"/>
              </w:rPr>
              <w:t>SAMPLE Implementation of Emergency Procedures for Continuum of Care and Emergency Solutions Grant Programs in Response to COVID-19 Health Emergency</w:t>
            </w:r>
            <w:r w:rsidR="00EC5E58" w:rsidRPr="00EC5E58">
              <w:rPr>
                <w:noProof/>
                <w:webHidden/>
                <w:sz w:val="22"/>
                <w:szCs w:val="22"/>
              </w:rPr>
              <w:tab/>
            </w:r>
            <w:r w:rsidR="00EC5E58" w:rsidRPr="00EC5E58">
              <w:rPr>
                <w:noProof/>
                <w:webHidden/>
                <w:sz w:val="22"/>
                <w:szCs w:val="22"/>
              </w:rPr>
              <w:fldChar w:fldCharType="begin"/>
            </w:r>
            <w:r w:rsidR="00EC5E58" w:rsidRPr="00EC5E58">
              <w:rPr>
                <w:noProof/>
                <w:webHidden/>
                <w:sz w:val="22"/>
                <w:szCs w:val="22"/>
              </w:rPr>
              <w:instrText xml:space="preserve"> PAGEREF _Toc52973328 \h </w:instrText>
            </w:r>
            <w:r w:rsidR="00EC5E58" w:rsidRPr="00EC5E58">
              <w:rPr>
                <w:noProof/>
                <w:webHidden/>
                <w:sz w:val="22"/>
                <w:szCs w:val="22"/>
              </w:rPr>
            </w:r>
            <w:r w:rsidR="00EC5E58" w:rsidRPr="00EC5E58">
              <w:rPr>
                <w:noProof/>
                <w:webHidden/>
                <w:sz w:val="22"/>
                <w:szCs w:val="22"/>
              </w:rPr>
              <w:fldChar w:fldCharType="separate"/>
            </w:r>
            <w:r w:rsidR="00EC5E58" w:rsidRPr="00EC5E58">
              <w:rPr>
                <w:noProof/>
                <w:webHidden/>
                <w:sz w:val="22"/>
                <w:szCs w:val="22"/>
              </w:rPr>
              <w:t>9</w:t>
            </w:r>
            <w:r w:rsidR="00EC5E58" w:rsidRPr="00EC5E58">
              <w:rPr>
                <w:noProof/>
                <w:webHidden/>
                <w:sz w:val="22"/>
                <w:szCs w:val="22"/>
              </w:rPr>
              <w:fldChar w:fldCharType="end"/>
            </w:r>
          </w:hyperlink>
        </w:p>
        <w:p w14:paraId="6A66843A" w14:textId="6809B414" w:rsidR="00EC5E58" w:rsidRPr="00EC5E58" w:rsidRDefault="00351F1E">
          <w:pPr>
            <w:pStyle w:val="TOC1"/>
            <w:tabs>
              <w:tab w:val="right" w:leader="dot" w:pos="9350"/>
            </w:tabs>
            <w:rPr>
              <w:rFonts w:eastAsiaTheme="minorEastAsia" w:cstheme="minorBidi"/>
              <w:b w:val="0"/>
              <w:bCs w:val="0"/>
              <w:i w:val="0"/>
              <w:iCs w:val="0"/>
              <w:noProof/>
              <w:sz w:val="22"/>
              <w:szCs w:val="22"/>
            </w:rPr>
          </w:pPr>
          <w:hyperlink w:anchor="_Toc52973329" w:history="1">
            <w:r w:rsidR="00EC5E58" w:rsidRPr="00EC5E58">
              <w:rPr>
                <w:rStyle w:val="Hyperlink"/>
                <w:noProof/>
                <w:sz w:val="22"/>
                <w:szCs w:val="22"/>
              </w:rPr>
              <w:t>Implementation of Waivers for HUD Continuum of Care and Emergency Solutions Grant Funded Projects</w:t>
            </w:r>
            <w:r w:rsidR="00EC5E58" w:rsidRPr="00EC5E58">
              <w:rPr>
                <w:noProof/>
                <w:webHidden/>
                <w:sz w:val="22"/>
                <w:szCs w:val="22"/>
              </w:rPr>
              <w:tab/>
            </w:r>
            <w:r w:rsidR="00EC5E58" w:rsidRPr="00EC5E58">
              <w:rPr>
                <w:noProof/>
                <w:webHidden/>
                <w:sz w:val="22"/>
                <w:szCs w:val="22"/>
              </w:rPr>
              <w:fldChar w:fldCharType="begin"/>
            </w:r>
            <w:r w:rsidR="00EC5E58" w:rsidRPr="00EC5E58">
              <w:rPr>
                <w:noProof/>
                <w:webHidden/>
                <w:sz w:val="22"/>
                <w:szCs w:val="22"/>
              </w:rPr>
              <w:instrText xml:space="preserve"> PAGEREF _Toc52973329 \h </w:instrText>
            </w:r>
            <w:r w:rsidR="00EC5E58" w:rsidRPr="00EC5E58">
              <w:rPr>
                <w:noProof/>
                <w:webHidden/>
                <w:sz w:val="22"/>
                <w:szCs w:val="22"/>
              </w:rPr>
            </w:r>
            <w:r w:rsidR="00EC5E58" w:rsidRPr="00EC5E58">
              <w:rPr>
                <w:noProof/>
                <w:webHidden/>
                <w:sz w:val="22"/>
                <w:szCs w:val="22"/>
              </w:rPr>
              <w:fldChar w:fldCharType="separate"/>
            </w:r>
            <w:r w:rsidR="00EC5E58" w:rsidRPr="00EC5E58">
              <w:rPr>
                <w:noProof/>
                <w:webHidden/>
                <w:sz w:val="22"/>
                <w:szCs w:val="22"/>
              </w:rPr>
              <w:t>9</w:t>
            </w:r>
            <w:r w:rsidR="00EC5E58" w:rsidRPr="00EC5E58">
              <w:rPr>
                <w:noProof/>
                <w:webHidden/>
                <w:sz w:val="22"/>
                <w:szCs w:val="22"/>
              </w:rPr>
              <w:fldChar w:fldCharType="end"/>
            </w:r>
          </w:hyperlink>
        </w:p>
        <w:p w14:paraId="79EB94EF" w14:textId="5EB885E9" w:rsidR="00EC5E58" w:rsidRPr="00EC5E58" w:rsidRDefault="00351F1E">
          <w:pPr>
            <w:pStyle w:val="TOC2"/>
            <w:tabs>
              <w:tab w:val="right" w:leader="dot" w:pos="9350"/>
            </w:tabs>
            <w:rPr>
              <w:rFonts w:eastAsiaTheme="minorEastAsia" w:cstheme="minorBidi"/>
              <w:b w:val="0"/>
              <w:bCs w:val="0"/>
              <w:noProof/>
            </w:rPr>
          </w:pPr>
          <w:hyperlink w:anchor="_Toc52973330" w:history="1">
            <w:r w:rsidR="00EC5E58" w:rsidRPr="00EC5E58">
              <w:rPr>
                <w:rStyle w:val="Hyperlink"/>
                <w:noProof/>
              </w:rPr>
              <w:t>1. 24-month rental assistance restriction is waived for CoC and ESG Rapid Rehousing (RRH)</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_Toc52973330 \h </w:instrText>
            </w:r>
            <w:r w:rsidR="00EC5E58" w:rsidRPr="00EC5E58">
              <w:rPr>
                <w:noProof/>
                <w:webHidden/>
              </w:rPr>
            </w:r>
            <w:r w:rsidR="00EC5E58" w:rsidRPr="00EC5E58">
              <w:rPr>
                <w:noProof/>
                <w:webHidden/>
              </w:rPr>
              <w:fldChar w:fldCharType="separate"/>
            </w:r>
            <w:r w:rsidR="00EC5E58" w:rsidRPr="00EC5E58">
              <w:rPr>
                <w:noProof/>
                <w:webHidden/>
              </w:rPr>
              <w:t>9</w:t>
            </w:r>
            <w:r w:rsidR="00EC5E58" w:rsidRPr="00EC5E58">
              <w:rPr>
                <w:noProof/>
                <w:webHidden/>
              </w:rPr>
              <w:fldChar w:fldCharType="end"/>
            </w:r>
          </w:hyperlink>
        </w:p>
        <w:p w14:paraId="5DBD9C4B" w14:textId="0EC18459" w:rsidR="00EC5E58" w:rsidRPr="00EC5E58" w:rsidRDefault="00351F1E">
          <w:pPr>
            <w:pStyle w:val="TOC2"/>
            <w:tabs>
              <w:tab w:val="right" w:leader="dot" w:pos="9350"/>
            </w:tabs>
            <w:rPr>
              <w:rFonts w:eastAsiaTheme="minorEastAsia" w:cstheme="minorBidi"/>
              <w:b w:val="0"/>
              <w:bCs w:val="0"/>
              <w:noProof/>
            </w:rPr>
          </w:pPr>
          <w:hyperlink w:anchor="_Toc52973331" w:history="1">
            <w:r w:rsidR="00EC5E58" w:rsidRPr="00EC5E58">
              <w:rPr>
                <w:rStyle w:val="Hyperlink"/>
                <w:noProof/>
              </w:rPr>
              <w:t>2. Apply in the next CoC Competition based on the BLIs before any amendment</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_Toc52973331 \h </w:instrText>
            </w:r>
            <w:r w:rsidR="00EC5E58" w:rsidRPr="00EC5E58">
              <w:rPr>
                <w:noProof/>
                <w:webHidden/>
              </w:rPr>
            </w:r>
            <w:r w:rsidR="00EC5E58" w:rsidRPr="00EC5E58">
              <w:rPr>
                <w:noProof/>
                <w:webHidden/>
              </w:rPr>
              <w:fldChar w:fldCharType="separate"/>
            </w:r>
            <w:r w:rsidR="00EC5E58" w:rsidRPr="00EC5E58">
              <w:rPr>
                <w:noProof/>
                <w:webHidden/>
              </w:rPr>
              <w:t>10</w:t>
            </w:r>
            <w:r w:rsidR="00EC5E58" w:rsidRPr="00EC5E58">
              <w:rPr>
                <w:noProof/>
                <w:webHidden/>
              </w:rPr>
              <w:fldChar w:fldCharType="end"/>
            </w:r>
          </w:hyperlink>
        </w:p>
        <w:p w14:paraId="4E21D2AB" w14:textId="7C78F2D3" w:rsidR="00EC5E58" w:rsidRPr="00EC5E58" w:rsidRDefault="00351F1E">
          <w:pPr>
            <w:pStyle w:val="TOC2"/>
            <w:tabs>
              <w:tab w:val="right" w:leader="dot" w:pos="9350"/>
            </w:tabs>
            <w:rPr>
              <w:rFonts w:eastAsiaTheme="minorEastAsia" w:cstheme="minorBidi"/>
              <w:b w:val="0"/>
              <w:bCs w:val="0"/>
              <w:noProof/>
            </w:rPr>
          </w:pPr>
          <w:hyperlink w:anchor="_Toc52973332" w:history="1">
            <w:r w:rsidR="00EC5E58" w:rsidRPr="00EC5E58">
              <w:rPr>
                <w:rStyle w:val="Hyperlink"/>
                <w:noProof/>
              </w:rPr>
              <w:t>3. Change to DedicatedPLUS eligibility criteria</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_Toc52973332 \h </w:instrText>
            </w:r>
            <w:r w:rsidR="00EC5E58" w:rsidRPr="00EC5E58">
              <w:rPr>
                <w:noProof/>
                <w:webHidden/>
              </w:rPr>
            </w:r>
            <w:r w:rsidR="00EC5E58" w:rsidRPr="00EC5E58">
              <w:rPr>
                <w:noProof/>
                <w:webHidden/>
              </w:rPr>
              <w:fldChar w:fldCharType="separate"/>
            </w:r>
            <w:r w:rsidR="00EC5E58" w:rsidRPr="00EC5E58">
              <w:rPr>
                <w:noProof/>
                <w:webHidden/>
              </w:rPr>
              <w:t>11</w:t>
            </w:r>
            <w:r w:rsidR="00EC5E58" w:rsidRPr="00EC5E58">
              <w:rPr>
                <w:noProof/>
                <w:webHidden/>
              </w:rPr>
              <w:fldChar w:fldCharType="end"/>
            </w:r>
          </w:hyperlink>
        </w:p>
        <w:p w14:paraId="029BD9C5" w14:textId="0DB3CF9E" w:rsidR="00EC5E58" w:rsidRPr="00EC5E58" w:rsidRDefault="00351F1E">
          <w:pPr>
            <w:pStyle w:val="TOC2"/>
            <w:tabs>
              <w:tab w:val="right" w:leader="dot" w:pos="9350"/>
            </w:tabs>
            <w:rPr>
              <w:rFonts w:eastAsiaTheme="minorEastAsia" w:cstheme="minorBidi"/>
              <w:b w:val="0"/>
              <w:bCs w:val="0"/>
              <w:noProof/>
            </w:rPr>
          </w:pPr>
          <w:hyperlink w:anchor="_Toc52973333" w:history="1">
            <w:r w:rsidR="00EC5E58" w:rsidRPr="00EC5E58">
              <w:rPr>
                <w:rStyle w:val="Hyperlink"/>
                <w:noProof/>
              </w:rPr>
              <w:t>4. Fair Market Rent for Individual Units (Applies to CoC Leasing and ESG RRH Projects)</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_Toc52973333 \h </w:instrText>
            </w:r>
            <w:r w:rsidR="00EC5E58" w:rsidRPr="00EC5E58">
              <w:rPr>
                <w:noProof/>
                <w:webHidden/>
              </w:rPr>
            </w:r>
            <w:r w:rsidR="00EC5E58" w:rsidRPr="00EC5E58">
              <w:rPr>
                <w:noProof/>
                <w:webHidden/>
              </w:rPr>
              <w:fldChar w:fldCharType="separate"/>
            </w:r>
            <w:r w:rsidR="00EC5E58" w:rsidRPr="00EC5E58">
              <w:rPr>
                <w:noProof/>
                <w:webHidden/>
              </w:rPr>
              <w:t>12</w:t>
            </w:r>
            <w:r w:rsidR="00EC5E58" w:rsidRPr="00EC5E58">
              <w:rPr>
                <w:noProof/>
                <w:webHidden/>
              </w:rPr>
              <w:fldChar w:fldCharType="end"/>
            </w:r>
          </w:hyperlink>
        </w:p>
        <w:p w14:paraId="2FFE0068" w14:textId="0E9396FF" w:rsidR="00EC5E58" w:rsidRPr="00EC5E58" w:rsidRDefault="00351F1E">
          <w:pPr>
            <w:pStyle w:val="TOC2"/>
            <w:tabs>
              <w:tab w:val="right" w:leader="dot" w:pos="9350"/>
            </w:tabs>
            <w:rPr>
              <w:rFonts w:eastAsiaTheme="minorEastAsia" w:cstheme="minorBidi"/>
              <w:b w:val="0"/>
              <w:bCs w:val="0"/>
              <w:noProof/>
            </w:rPr>
          </w:pPr>
          <w:hyperlink w:anchor="_Toc52973334" w:history="1">
            <w:r w:rsidR="00EC5E58" w:rsidRPr="00EC5E58">
              <w:rPr>
                <w:rStyle w:val="Hyperlink"/>
                <w:noProof/>
              </w:rPr>
              <w:t>5. Disability Determination in Permanent Supportive Housing (Applies to CoC PSH Projects)</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_Toc52973334 \h </w:instrText>
            </w:r>
            <w:r w:rsidR="00EC5E58" w:rsidRPr="00EC5E58">
              <w:rPr>
                <w:noProof/>
                <w:webHidden/>
              </w:rPr>
            </w:r>
            <w:r w:rsidR="00EC5E58" w:rsidRPr="00EC5E58">
              <w:rPr>
                <w:noProof/>
                <w:webHidden/>
              </w:rPr>
              <w:fldChar w:fldCharType="separate"/>
            </w:r>
            <w:r w:rsidR="00EC5E58" w:rsidRPr="00EC5E58">
              <w:rPr>
                <w:noProof/>
                <w:webHidden/>
              </w:rPr>
              <w:t>13</w:t>
            </w:r>
            <w:r w:rsidR="00EC5E58" w:rsidRPr="00EC5E58">
              <w:rPr>
                <w:noProof/>
                <w:webHidden/>
              </w:rPr>
              <w:fldChar w:fldCharType="end"/>
            </w:r>
          </w:hyperlink>
        </w:p>
        <w:p w14:paraId="3E626535" w14:textId="24CF4EA0" w:rsidR="00EC5E58" w:rsidRPr="00EC5E58" w:rsidRDefault="00351F1E">
          <w:pPr>
            <w:pStyle w:val="TOC2"/>
            <w:tabs>
              <w:tab w:val="right" w:leader="dot" w:pos="9350"/>
            </w:tabs>
            <w:rPr>
              <w:rFonts w:eastAsiaTheme="minorEastAsia" w:cstheme="minorBidi"/>
              <w:b w:val="0"/>
              <w:bCs w:val="0"/>
              <w:noProof/>
            </w:rPr>
          </w:pPr>
          <w:hyperlink w:anchor="_Toc52973335" w:history="1">
            <w:r w:rsidR="00EC5E58" w:rsidRPr="00EC5E58">
              <w:rPr>
                <w:rStyle w:val="Hyperlink"/>
                <w:noProof/>
              </w:rPr>
              <w:t>6. Limit on Eligible Housing Search and Counseling Services (Applicable to CoC projects with a Supportive Services Budget Line Item)</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_Toc52973335 \h </w:instrText>
            </w:r>
            <w:r w:rsidR="00EC5E58" w:rsidRPr="00EC5E58">
              <w:rPr>
                <w:noProof/>
                <w:webHidden/>
              </w:rPr>
            </w:r>
            <w:r w:rsidR="00EC5E58" w:rsidRPr="00EC5E58">
              <w:rPr>
                <w:noProof/>
                <w:webHidden/>
              </w:rPr>
              <w:fldChar w:fldCharType="separate"/>
            </w:r>
            <w:r w:rsidR="00EC5E58" w:rsidRPr="00EC5E58">
              <w:rPr>
                <w:noProof/>
                <w:webHidden/>
              </w:rPr>
              <w:t>15</w:t>
            </w:r>
            <w:r w:rsidR="00EC5E58" w:rsidRPr="00EC5E58">
              <w:rPr>
                <w:noProof/>
                <w:webHidden/>
              </w:rPr>
              <w:fldChar w:fldCharType="end"/>
            </w:r>
          </w:hyperlink>
        </w:p>
        <w:p w14:paraId="5FD18169" w14:textId="7BDD9CD9" w:rsidR="00EC5E58" w:rsidRPr="00EC5E58" w:rsidRDefault="00351F1E">
          <w:pPr>
            <w:pStyle w:val="TOC2"/>
            <w:tabs>
              <w:tab w:val="right" w:leader="dot" w:pos="9350"/>
            </w:tabs>
            <w:rPr>
              <w:rFonts w:eastAsiaTheme="minorEastAsia" w:cstheme="minorBidi"/>
              <w:b w:val="0"/>
              <w:bCs w:val="0"/>
              <w:noProof/>
            </w:rPr>
          </w:pPr>
          <w:hyperlink w:anchor="_Toc52973336" w:history="1">
            <w:r w:rsidR="00EC5E58" w:rsidRPr="00EC5E58">
              <w:rPr>
                <w:rStyle w:val="Hyperlink"/>
                <w:noProof/>
              </w:rPr>
              <w:t>7. Permanent Housing-Rapid Re-housing Monthly Case Management (Applies to CoC and ESG RRH)</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_Toc52973336 \h </w:instrText>
            </w:r>
            <w:r w:rsidR="00EC5E58" w:rsidRPr="00EC5E58">
              <w:rPr>
                <w:noProof/>
                <w:webHidden/>
              </w:rPr>
            </w:r>
            <w:r w:rsidR="00EC5E58" w:rsidRPr="00EC5E58">
              <w:rPr>
                <w:noProof/>
                <w:webHidden/>
              </w:rPr>
              <w:fldChar w:fldCharType="separate"/>
            </w:r>
            <w:r w:rsidR="00EC5E58" w:rsidRPr="00EC5E58">
              <w:rPr>
                <w:noProof/>
                <w:webHidden/>
              </w:rPr>
              <w:t>16</w:t>
            </w:r>
            <w:r w:rsidR="00EC5E58" w:rsidRPr="00EC5E58">
              <w:rPr>
                <w:noProof/>
                <w:webHidden/>
              </w:rPr>
              <w:fldChar w:fldCharType="end"/>
            </w:r>
          </w:hyperlink>
        </w:p>
        <w:p w14:paraId="035E8D36" w14:textId="1D1C3814" w:rsidR="00EC5E58" w:rsidRPr="00EC5E58" w:rsidRDefault="00351F1E">
          <w:pPr>
            <w:pStyle w:val="TOC2"/>
            <w:tabs>
              <w:tab w:val="right" w:leader="dot" w:pos="9350"/>
            </w:tabs>
            <w:rPr>
              <w:rFonts w:eastAsiaTheme="minorEastAsia" w:cstheme="minorBidi"/>
              <w:b w:val="0"/>
              <w:bCs w:val="0"/>
              <w:noProof/>
            </w:rPr>
          </w:pPr>
          <w:hyperlink w:anchor="_Toc52973337" w:history="1">
            <w:r w:rsidR="00EC5E58" w:rsidRPr="00EC5E58">
              <w:rPr>
                <w:rStyle w:val="Hyperlink"/>
                <w:noProof/>
              </w:rPr>
              <w:t>8. Housing Quality Standards (HQS) Initial Inspection of Unit (Applies to ESG RRH projects and CoC projects with Leasing or Rental Assistance Budget Line Items)</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_Toc52973337 \h </w:instrText>
            </w:r>
            <w:r w:rsidR="00EC5E58" w:rsidRPr="00EC5E58">
              <w:rPr>
                <w:noProof/>
                <w:webHidden/>
              </w:rPr>
            </w:r>
            <w:r w:rsidR="00EC5E58" w:rsidRPr="00EC5E58">
              <w:rPr>
                <w:noProof/>
                <w:webHidden/>
              </w:rPr>
              <w:fldChar w:fldCharType="separate"/>
            </w:r>
            <w:r w:rsidR="00EC5E58" w:rsidRPr="00EC5E58">
              <w:rPr>
                <w:noProof/>
                <w:webHidden/>
              </w:rPr>
              <w:t>16</w:t>
            </w:r>
            <w:r w:rsidR="00EC5E58" w:rsidRPr="00EC5E58">
              <w:rPr>
                <w:noProof/>
                <w:webHidden/>
              </w:rPr>
              <w:fldChar w:fldCharType="end"/>
            </w:r>
          </w:hyperlink>
        </w:p>
        <w:p w14:paraId="5D5C11F4" w14:textId="2E4DB72A" w:rsidR="00EC5E58" w:rsidRPr="00EC5E58" w:rsidRDefault="00351F1E">
          <w:pPr>
            <w:pStyle w:val="TOC2"/>
            <w:tabs>
              <w:tab w:val="right" w:leader="dot" w:pos="9350"/>
            </w:tabs>
            <w:rPr>
              <w:rFonts w:eastAsiaTheme="minorEastAsia" w:cstheme="minorBidi"/>
              <w:b w:val="0"/>
              <w:bCs w:val="0"/>
              <w:noProof/>
            </w:rPr>
          </w:pPr>
          <w:hyperlink w:anchor="_Toc52973338" w:history="1">
            <w:r w:rsidR="00EC5E58" w:rsidRPr="00EC5E58">
              <w:rPr>
                <w:rStyle w:val="Hyperlink"/>
                <w:noProof/>
              </w:rPr>
              <w:t>9. HQS – Re-Inspection of Units (Applies to ESG RRH projects and CoC projects with Leasing or Rental Assistance Budget Line Items)</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_Toc52973338 \h </w:instrText>
            </w:r>
            <w:r w:rsidR="00EC5E58" w:rsidRPr="00EC5E58">
              <w:rPr>
                <w:noProof/>
                <w:webHidden/>
              </w:rPr>
            </w:r>
            <w:r w:rsidR="00EC5E58" w:rsidRPr="00EC5E58">
              <w:rPr>
                <w:noProof/>
                <w:webHidden/>
              </w:rPr>
              <w:fldChar w:fldCharType="separate"/>
            </w:r>
            <w:r w:rsidR="00EC5E58" w:rsidRPr="00EC5E58">
              <w:rPr>
                <w:noProof/>
                <w:webHidden/>
              </w:rPr>
              <w:t>18</w:t>
            </w:r>
            <w:r w:rsidR="00EC5E58" w:rsidRPr="00EC5E58">
              <w:rPr>
                <w:noProof/>
                <w:webHidden/>
              </w:rPr>
              <w:fldChar w:fldCharType="end"/>
            </w:r>
          </w:hyperlink>
        </w:p>
        <w:p w14:paraId="3029A677" w14:textId="2C5E9CA7" w:rsidR="00EC5E58" w:rsidRPr="00EC5E58" w:rsidRDefault="00351F1E">
          <w:pPr>
            <w:pStyle w:val="TOC2"/>
            <w:tabs>
              <w:tab w:val="right" w:leader="dot" w:pos="9350"/>
            </w:tabs>
            <w:rPr>
              <w:rFonts w:eastAsiaTheme="minorEastAsia" w:cstheme="minorBidi"/>
              <w:b w:val="0"/>
              <w:bCs w:val="0"/>
              <w:noProof/>
            </w:rPr>
          </w:pPr>
          <w:hyperlink w:anchor="_Toc52973339" w:history="1">
            <w:r w:rsidR="00EC5E58" w:rsidRPr="00EC5E58">
              <w:rPr>
                <w:rStyle w:val="Hyperlink"/>
                <w:noProof/>
              </w:rPr>
              <w:t>10. One-Year Lease Requirement (Applies to CoC RRH and PSH and ESG RRH projects)</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_Toc52973339 \h </w:instrText>
            </w:r>
            <w:r w:rsidR="00EC5E58" w:rsidRPr="00EC5E58">
              <w:rPr>
                <w:noProof/>
                <w:webHidden/>
              </w:rPr>
            </w:r>
            <w:r w:rsidR="00EC5E58" w:rsidRPr="00EC5E58">
              <w:rPr>
                <w:noProof/>
                <w:webHidden/>
              </w:rPr>
              <w:fldChar w:fldCharType="separate"/>
            </w:r>
            <w:r w:rsidR="00EC5E58" w:rsidRPr="00EC5E58">
              <w:rPr>
                <w:noProof/>
                <w:webHidden/>
              </w:rPr>
              <w:t>19</w:t>
            </w:r>
            <w:r w:rsidR="00EC5E58" w:rsidRPr="00EC5E58">
              <w:rPr>
                <w:noProof/>
                <w:webHidden/>
              </w:rPr>
              <w:fldChar w:fldCharType="end"/>
            </w:r>
          </w:hyperlink>
        </w:p>
        <w:p w14:paraId="48E4017D" w14:textId="2B5B6AC4" w:rsidR="00EC5E58" w:rsidRPr="00EC5E58" w:rsidRDefault="00351F1E">
          <w:pPr>
            <w:pStyle w:val="TOC2"/>
            <w:tabs>
              <w:tab w:val="right" w:leader="dot" w:pos="9350"/>
            </w:tabs>
            <w:rPr>
              <w:rFonts w:eastAsiaTheme="minorEastAsia" w:cstheme="minorBidi"/>
              <w:b w:val="0"/>
              <w:bCs w:val="0"/>
              <w:noProof/>
            </w:rPr>
          </w:pPr>
          <w:hyperlink w:anchor="_Toc52973340" w:history="1">
            <w:r w:rsidR="00EC5E58" w:rsidRPr="00EC5E58">
              <w:rPr>
                <w:rStyle w:val="Hyperlink"/>
                <w:noProof/>
              </w:rPr>
              <w:t>11. Third-party documentation of income (Applies to all CoC Projects)</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_Toc52973340 \h </w:instrText>
            </w:r>
            <w:r w:rsidR="00EC5E58" w:rsidRPr="00EC5E58">
              <w:rPr>
                <w:noProof/>
                <w:webHidden/>
              </w:rPr>
            </w:r>
            <w:r w:rsidR="00EC5E58" w:rsidRPr="00EC5E58">
              <w:rPr>
                <w:noProof/>
                <w:webHidden/>
              </w:rPr>
              <w:fldChar w:fldCharType="separate"/>
            </w:r>
            <w:r w:rsidR="00EC5E58" w:rsidRPr="00EC5E58">
              <w:rPr>
                <w:noProof/>
                <w:webHidden/>
              </w:rPr>
              <w:t>20</w:t>
            </w:r>
            <w:r w:rsidR="00EC5E58" w:rsidRPr="00EC5E58">
              <w:rPr>
                <w:noProof/>
                <w:webHidden/>
              </w:rPr>
              <w:fldChar w:fldCharType="end"/>
            </w:r>
          </w:hyperlink>
        </w:p>
        <w:p w14:paraId="6E1A0594" w14:textId="7D477BD8" w:rsidR="00EC5E58" w:rsidRPr="00EC5E58" w:rsidRDefault="00351F1E">
          <w:pPr>
            <w:pStyle w:val="TOC2"/>
            <w:tabs>
              <w:tab w:val="right" w:leader="dot" w:pos="9350"/>
            </w:tabs>
            <w:rPr>
              <w:rFonts w:eastAsiaTheme="minorEastAsia" w:cstheme="minorBidi"/>
              <w:b w:val="0"/>
              <w:bCs w:val="0"/>
              <w:noProof/>
            </w:rPr>
          </w:pPr>
          <w:hyperlink w:anchor="_Toc52973341" w:history="1">
            <w:r w:rsidR="00EC5E58" w:rsidRPr="00EC5E58">
              <w:rPr>
                <w:rStyle w:val="Hyperlink"/>
                <w:noProof/>
              </w:rPr>
              <w:t>12.  Suitable dwelling size (Applies to CoC RRH)</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_Toc52973341 \h </w:instrText>
            </w:r>
            <w:r w:rsidR="00EC5E58" w:rsidRPr="00EC5E58">
              <w:rPr>
                <w:noProof/>
                <w:webHidden/>
              </w:rPr>
            </w:r>
            <w:r w:rsidR="00EC5E58" w:rsidRPr="00EC5E58">
              <w:rPr>
                <w:noProof/>
                <w:webHidden/>
              </w:rPr>
              <w:fldChar w:fldCharType="separate"/>
            </w:r>
            <w:r w:rsidR="00EC5E58" w:rsidRPr="00EC5E58">
              <w:rPr>
                <w:noProof/>
                <w:webHidden/>
              </w:rPr>
              <w:t>21</w:t>
            </w:r>
            <w:r w:rsidR="00EC5E58" w:rsidRPr="00EC5E58">
              <w:rPr>
                <w:noProof/>
                <w:webHidden/>
              </w:rPr>
              <w:fldChar w:fldCharType="end"/>
            </w:r>
          </w:hyperlink>
        </w:p>
        <w:p w14:paraId="7754F18D" w14:textId="22E681B1" w:rsidR="00EC5E58" w:rsidRPr="00EC5E58" w:rsidRDefault="00351F1E">
          <w:pPr>
            <w:pStyle w:val="TOC2"/>
            <w:tabs>
              <w:tab w:val="right" w:leader="dot" w:pos="9350"/>
            </w:tabs>
            <w:rPr>
              <w:rFonts w:eastAsiaTheme="minorEastAsia" w:cstheme="minorBidi"/>
              <w:b w:val="0"/>
              <w:bCs w:val="0"/>
              <w:noProof/>
            </w:rPr>
          </w:pPr>
          <w:hyperlink w:anchor="_Toc52973342" w:history="1">
            <w:r w:rsidR="00EC5E58" w:rsidRPr="00EC5E58">
              <w:rPr>
                <w:rStyle w:val="Hyperlink"/>
                <w:noProof/>
              </w:rPr>
              <w:t>13. Retention of homeless status for up to 120 days for people exiting an institution (applies to all CoC Projects and ESG RRH)</w:t>
            </w:r>
            <w:r w:rsidR="00EC5E58" w:rsidRPr="00EC5E58">
              <w:rPr>
                <w:noProof/>
                <w:webHidden/>
              </w:rPr>
              <w:tab/>
            </w:r>
            <w:r w:rsidR="00EC5E58" w:rsidRPr="00EC5E58">
              <w:rPr>
                <w:noProof/>
                <w:webHidden/>
              </w:rPr>
              <w:fldChar w:fldCharType="begin"/>
            </w:r>
            <w:r w:rsidR="00EC5E58" w:rsidRPr="00EC5E58">
              <w:rPr>
                <w:noProof/>
                <w:webHidden/>
              </w:rPr>
              <w:instrText xml:space="preserve"> PAGEREF _Toc52973342 \h </w:instrText>
            </w:r>
            <w:r w:rsidR="00EC5E58" w:rsidRPr="00EC5E58">
              <w:rPr>
                <w:noProof/>
                <w:webHidden/>
              </w:rPr>
            </w:r>
            <w:r w:rsidR="00EC5E58" w:rsidRPr="00EC5E58">
              <w:rPr>
                <w:noProof/>
                <w:webHidden/>
              </w:rPr>
              <w:fldChar w:fldCharType="separate"/>
            </w:r>
            <w:r w:rsidR="00EC5E58" w:rsidRPr="00EC5E58">
              <w:rPr>
                <w:noProof/>
                <w:webHidden/>
              </w:rPr>
              <w:t>22</w:t>
            </w:r>
            <w:r w:rsidR="00EC5E58" w:rsidRPr="00EC5E58">
              <w:rPr>
                <w:noProof/>
                <w:webHidden/>
              </w:rPr>
              <w:fldChar w:fldCharType="end"/>
            </w:r>
          </w:hyperlink>
        </w:p>
        <w:p w14:paraId="10C3B8EB" w14:textId="12A79F7F" w:rsidR="00EC5E58" w:rsidRPr="00EC5E58" w:rsidRDefault="00351F1E">
          <w:pPr>
            <w:pStyle w:val="TOC1"/>
            <w:tabs>
              <w:tab w:val="right" w:leader="dot" w:pos="9350"/>
            </w:tabs>
            <w:rPr>
              <w:rFonts w:eastAsiaTheme="minorEastAsia" w:cstheme="minorBidi"/>
              <w:b w:val="0"/>
              <w:bCs w:val="0"/>
              <w:i w:val="0"/>
              <w:iCs w:val="0"/>
              <w:noProof/>
              <w:sz w:val="22"/>
              <w:szCs w:val="22"/>
            </w:rPr>
          </w:pPr>
          <w:hyperlink w:anchor="_Toc52973343" w:history="1">
            <w:r w:rsidR="00EC5E58" w:rsidRPr="00EC5E58">
              <w:rPr>
                <w:rStyle w:val="Hyperlink"/>
                <w:noProof/>
                <w:sz w:val="22"/>
                <w:szCs w:val="22"/>
              </w:rPr>
              <w:t>APPENDIX 2 - CoC Grant Recipient &amp; Subrecipient Obligations</w:t>
            </w:r>
            <w:r w:rsidR="00EC5E58" w:rsidRPr="00EC5E58">
              <w:rPr>
                <w:noProof/>
                <w:webHidden/>
                <w:sz w:val="22"/>
                <w:szCs w:val="22"/>
              </w:rPr>
              <w:tab/>
            </w:r>
            <w:r w:rsidR="00EC5E58" w:rsidRPr="00EC5E58">
              <w:rPr>
                <w:noProof/>
                <w:webHidden/>
                <w:sz w:val="22"/>
                <w:szCs w:val="22"/>
              </w:rPr>
              <w:fldChar w:fldCharType="begin"/>
            </w:r>
            <w:r w:rsidR="00EC5E58" w:rsidRPr="00EC5E58">
              <w:rPr>
                <w:noProof/>
                <w:webHidden/>
                <w:sz w:val="22"/>
                <w:szCs w:val="22"/>
              </w:rPr>
              <w:instrText xml:space="preserve"> PAGEREF _Toc52973343 \h </w:instrText>
            </w:r>
            <w:r w:rsidR="00EC5E58" w:rsidRPr="00EC5E58">
              <w:rPr>
                <w:noProof/>
                <w:webHidden/>
                <w:sz w:val="22"/>
                <w:szCs w:val="22"/>
              </w:rPr>
            </w:r>
            <w:r w:rsidR="00EC5E58" w:rsidRPr="00EC5E58">
              <w:rPr>
                <w:noProof/>
                <w:webHidden/>
                <w:sz w:val="22"/>
                <w:szCs w:val="22"/>
              </w:rPr>
              <w:fldChar w:fldCharType="separate"/>
            </w:r>
            <w:r w:rsidR="00EC5E58" w:rsidRPr="00EC5E58">
              <w:rPr>
                <w:noProof/>
                <w:webHidden/>
                <w:sz w:val="22"/>
                <w:szCs w:val="22"/>
              </w:rPr>
              <w:t>24</w:t>
            </w:r>
            <w:r w:rsidR="00EC5E58" w:rsidRPr="00EC5E58">
              <w:rPr>
                <w:noProof/>
                <w:webHidden/>
                <w:sz w:val="22"/>
                <w:szCs w:val="22"/>
              </w:rPr>
              <w:fldChar w:fldCharType="end"/>
            </w:r>
          </w:hyperlink>
        </w:p>
        <w:p w14:paraId="57F4060C" w14:textId="77777777" w:rsidR="00EC5E58" w:rsidRDefault="00DE1145" w:rsidP="002D5DC5">
          <w:pPr>
            <w:jc w:val="both"/>
            <w:rPr>
              <w:noProof/>
            </w:rPr>
          </w:pPr>
          <w:r w:rsidRPr="00EC5E58">
            <w:rPr>
              <w:b/>
              <w:bCs/>
              <w:noProof/>
            </w:rPr>
            <w:fldChar w:fldCharType="end"/>
          </w:r>
        </w:p>
      </w:sdtContent>
    </w:sdt>
    <w:p w14:paraId="07690C76" w14:textId="76A0A703" w:rsidR="00B73944" w:rsidRDefault="00B73944" w:rsidP="002D5DC5">
      <w:pPr>
        <w:pStyle w:val="Heading1"/>
        <w:jc w:val="both"/>
      </w:pPr>
      <w:bookmarkStart w:id="1" w:name="_Toc52973325"/>
      <w:r w:rsidRPr="00C35B36">
        <w:lastRenderedPageBreak/>
        <w:t>Background</w:t>
      </w:r>
      <w:bookmarkEnd w:id="1"/>
    </w:p>
    <w:p w14:paraId="2BEEE8E3" w14:textId="77777777" w:rsidR="00B73944" w:rsidRDefault="00B73944" w:rsidP="002D5DC5">
      <w:pPr>
        <w:jc w:val="both"/>
        <w:rPr>
          <w:rFonts w:ascii="Calibri" w:hAnsi="Calibri" w:cs="Calibri"/>
          <w:b/>
          <w:bCs/>
          <w:sz w:val="24"/>
          <w:szCs w:val="24"/>
        </w:rPr>
      </w:pPr>
    </w:p>
    <w:p w14:paraId="402EF834" w14:textId="0237A62E" w:rsidR="006C2A47" w:rsidRPr="006C2A47" w:rsidRDefault="006C2A47" w:rsidP="002D5DC5">
      <w:pPr>
        <w:jc w:val="both"/>
        <w:rPr>
          <w:rFonts w:ascii="Calibri" w:hAnsi="Calibri" w:cs="Calibri"/>
          <w:b/>
          <w:bCs/>
          <w:sz w:val="24"/>
          <w:szCs w:val="24"/>
        </w:rPr>
      </w:pPr>
      <w:r w:rsidRPr="006C2A47">
        <w:rPr>
          <w:rFonts w:ascii="Calibri" w:hAnsi="Calibri" w:cs="Calibri"/>
          <w:b/>
          <w:bCs/>
          <w:sz w:val="24"/>
          <w:szCs w:val="24"/>
        </w:rPr>
        <w:t>The Connecticut Balance of State Continuum of Care (CT BOS CoC) is providing these sample policies to help agencies to meet HUD, CT DOH, and CT DMHAS requirements related to the COVID-19 crisis.</w:t>
      </w:r>
    </w:p>
    <w:p w14:paraId="71136C25" w14:textId="66E0F2CF" w:rsidR="00531643" w:rsidRDefault="008A2389" w:rsidP="002D5DC5">
      <w:pPr>
        <w:jc w:val="both"/>
        <w:rPr>
          <w:rFonts w:ascii="Calibri" w:hAnsi="Calibri" w:cs="Calibri"/>
          <w:sz w:val="24"/>
          <w:szCs w:val="24"/>
        </w:rPr>
      </w:pPr>
      <w:r>
        <w:rPr>
          <w:rFonts w:ascii="Calibri" w:hAnsi="Calibri"/>
          <w:sz w:val="24"/>
          <w:szCs w:val="24"/>
        </w:rPr>
        <w:t>In light of the crisis, on March 31, 2020</w:t>
      </w:r>
      <w:r w:rsidRPr="00201118">
        <w:rPr>
          <w:rFonts w:ascii="Calibri" w:hAnsi="Calibri"/>
          <w:sz w:val="24"/>
          <w:szCs w:val="24"/>
        </w:rPr>
        <w:t xml:space="preserve"> HUD </w:t>
      </w:r>
      <w:r w:rsidR="00632A4E">
        <w:rPr>
          <w:rFonts w:ascii="Calibri" w:hAnsi="Calibri"/>
          <w:sz w:val="24"/>
          <w:szCs w:val="24"/>
        </w:rPr>
        <w:t>issued</w:t>
      </w:r>
      <w:r w:rsidRPr="00201118">
        <w:rPr>
          <w:rFonts w:ascii="Calibri" w:hAnsi="Calibri"/>
          <w:sz w:val="24"/>
          <w:szCs w:val="24"/>
        </w:rPr>
        <w:t xml:space="preserve"> </w:t>
      </w:r>
      <w:r w:rsidR="005E1378">
        <w:rPr>
          <w:rFonts w:ascii="Calibri" w:hAnsi="Calibri"/>
          <w:sz w:val="24"/>
          <w:szCs w:val="24"/>
        </w:rPr>
        <w:t xml:space="preserve">memoranda on </w:t>
      </w:r>
      <w:hyperlink r:id="rId8" w:history="1">
        <w:r w:rsidR="005E1378" w:rsidRPr="005E1378">
          <w:rPr>
            <w:rStyle w:val="Hyperlink"/>
            <w:rFonts w:ascii="Calibri" w:hAnsi="Calibri"/>
            <w:sz w:val="24"/>
            <w:szCs w:val="24"/>
          </w:rPr>
          <w:t>3/31/20</w:t>
        </w:r>
      </w:hyperlink>
      <w:r w:rsidR="00C36965">
        <w:rPr>
          <w:rFonts w:ascii="Calibri" w:hAnsi="Calibri"/>
          <w:sz w:val="24"/>
          <w:szCs w:val="24"/>
        </w:rPr>
        <w:t xml:space="preserve">, </w:t>
      </w:r>
      <w:r w:rsidR="005E1378">
        <w:rPr>
          <w:rFonts w:ascii="Calibri" w:hAnsi="Calibri"/>
          <w:sz w:val="24"/>
          <w:szCs w:val="24"/>
        </w:rPr>
        <w:t xml:space="preserve"> </w:t>
      </w:r>
      <w:hyperlink r:id="rId9" w:history="1">
        <w:r w:rsidR="005E1378" w:rsidRPr="005E1378">
          <w:rPr>
            <w:rStyle w:val="Hyperlink"/>
            <w:rFonts w:ascii="Calibri" w:hAnsi="Calibri"/>
            <w:sz w:val="24"/>
            <w:szCs w:val="24"/>
          </w:rPr>
          <w:t>5/22/20</w:t>
        </w:r>
      </w:hyperlink>
      <w:r w:rsidRPr="00201118">
        <w:rPr>
          <w:rFonts w:ascii="Calibri" w:hAnsi="Calibri"/>
          <w:sz w:val="24"/>
          <w:szCs w:val="24"/>
        </w:rPr>
        <w:t xml:space="preserve"> </w:t>
      </w:r>
      <w:r w:rsidR="00C36965">
        <w:rPr>
          <w:rFonts w:ascii="Calibri" w:hAnsi="Calibri"/>
          <w:sz w:val="24"/>
          <w:szCs w:val="24"/>
        </w:rPr>
        <w:t xml:space="preserve"> and </w:t>
      </w:r>
      <w:hyperlink r:id="rId10" w:history="1">
        <w:r w:rsidR="00C36965" w:rsidRPr="00C36965">
          <w:rPr>
            <w:rStyle w:val="Hyperlink"/>
            <w:rFonts w:ascii="Calibri" w:hAnsi="Calibri"/>
            <w:sz w:val="24"/>
            <w:szCs w:val="24"/>
          </w:rPr>
          <w:t>9/30/20</w:t>
        </w:r>
      </w:hyperlink>
      <w:r w:rsidR="00C36965">
        <w:rPr>
          <w:rFonts w:ascii="Calibri" w:hAnsi="Calibri"/>
          <w:sz w:val="24"/>
          <w:szCs w:val="24"/>
        </w:rPr>
        <w:t xml:space="preserve"> </w:t>
      </w:r>
      <w:r w:rsidRPr="00201118">
        <w:rPr>
          <w:rFonts w:ascii="Calibri" w:hAnsi="Calibri"/>
          <w:sz w:val="24"/>
          <w:szCs w:val="24"/>
        </w:rPr>
        <w:t xml:space="preserve">authorizing certain waivers for the </w:t>
      </w:r>
      <w:r>
        <w:rPr>
          <w:rFonts w:ascii="Calibri" w:hAnsi="Calibri"/>
          <w:sz w:val="24"/>
          <w:szCs w:val="24"/>
        </w:rPr>
        <w:t>Continuum of Care (</w:t>
      </w:r>
      <w:r w:rsidRPr="00201118">
        <w:rPr>
          <w:rFonts w:ascii="Calibri" w:hAnsi="Calibri"/>
          <w:sz w:val="24"/>
          <w:szCs w:val="24"/>
        </w:rPr>
        <w:t>CoC</w:t>
      </w:r>
      <w:r>
        <w:rPr>
          <w:rFonts w:ascii="Calibri" w:hAnsi="Calibri"/>
          <w:sz w:val="24"/>
          <w:szCs w:val="24"/>
        </w:rPr>
        <w:t>), Emergency Solutions Grant (</w:t>
      </w:r>
      <w:r w:rsidRPr="00201118">
        <w:rPr>
          <w:rFonts w:ascii="Calibri" w:hAnsi="Calibri"/>
          <w:sz w:val="24"/>
          <w:szCs w:val="24"/>
        </w:rPr>
        <w:t>ESG</w:t>
      </w:r>
      <w:r>
        <w:rPr>
          <w:rFonts w:ascii="Calibri" w:hAnsi="Calibri"/>
          <w:sz w:val="24"/>
          <w:szCs w:val="24"/>
        </w:rPr>
        <w:t xml:space="preserve">) </w:t>
      </w:r>
      <w:r w:rsidRPr="00201118">
        <w:rPr>
          <w:rFonts w:ascii="Calibri" w:hAnsi="Calibri"/>
          <w:sz w:val="24"/>
          <w:szCs w:val="24"/>
        </w:rPr>
        <w:t>and HOPWA programs.</w:t>
      </w:r>
      <w:r>
        <w:rPr>
          <w:rFonts w:ascii="Calibri" w:hAnsi="Calibri"/>
          <w:sz w:val="24"/>
          <w:szCs w:val="24"/>
        </w:rPr>
        <w:t xml:space="preserve"> </w:t>
      </w:r>
      <w:r>
        <w:rPr>
          <w:rFonts w:ascii="Calibri" w:hAnsi="Calibri" w:cs="Calibri"/>
          <w:sz w:val="24"/>
          <w:szCs w:val="24"/>
        </w:rPr>
        <w:t xml:space="preserve">HUD has indicated during weekly Office Hours that to </w:t>
      </w:r>
      <w:r w:rsidR="0067286B">
        <w:rPr>
          <w:rFonts w:ascii="Calibri" w:hAnsi="Calibri" w:cs="Calibri"/>
          <w:sz w:val="24"/>
          <w:szCs w:val="24"/>
        </w:rPr>
        <w:t xml:space="preserve">use </w:t>
      </w:r>
      <w:r w:rsidR="00C35B36" w:rsidRPr="00EC479E">
        <w:rPr>
          <w:rFonts w:ascii="Calibri" w:hAnsi="Calibri" w:cs="Calibri"/>
          <w:sz w:val="24"/>
          <w:szCs w:val="24"/>
        </w:rPr>
        <w:t xml:space="preserve">CoC </w:t>
      </w:r>
      <w:r w:rsidR="00911E01" w:rsidRPr="00EC479E">
        <w:rPr>
          <w:rFonts w:ascii="Calibri" w:hAnsi="Calibri" w:cs="Calibri"/>
          <w:sz w:val="24"/>
          <w:szCs w:val="24"/>
        </w:rPr>
        <w:t xml:space="preserve">and ESG </w:t>
      </w:r>
      <w:r w:rsidR="00C35B36" w:rsidRPr="00EC479E">
        <w:rPr>
          <w:rFonts w:ascii="Calibri" w:hAnsi="Calibri" w:cs="Calibri"/>
          <w:sz w:val="24"/>
          <w:szCs w:val="24"/>
        </w:rPr>
        <w:t xml:space="preserve">funds for hazard pay and </w:t>
      </w:r>
      <w:r w:rsidR="0067286B">
        <w:rPr>
          <w:rFonts w:ascii="Calibri" w:hAnsi="Calibri" w:cs="Calibri"/>
          <w:sz w:val="24"/>
          <w:szCs w:val="24"/>
        </w:rPr>
        <w:t xml:space="preserve">to use the </w:t>
      </w:r>
      <w:r w:rsidR="000149DE">
        <w:rPr>
          <w:rFonts w:ascii="Calibri" w:hAnsi="Calibri" w:cs="Calibri"/>
          <w:sz w:val="24"/>
          <w:szCs w:val="24"/>
        </w:rPr>
        <w:t>available</w:t>
      </w:r>
      <w:r w:rsidR="0067286B">
        <w:rPr>
          <w:rFonts w:ascii="Calibri" w:hAnsi="Calibri" w:cs="Calibri"/>
          <w:sz w:val="24"/>
          <w:szCs w:val="24"/>
        </w:rPr>
        <w:t xml:space="preserve"> </w:t>
      </w:r>
      <w:r w:rsidR="00C35B36" w:rsidRPr="00EC479E">
        <w:rPr>
          <w:rFonts w:ascii="Calibri" w:hAnsi="Calibri" w:cs="Calibri"/>
          <w:sz w:val="24"/>
          <w:szCs w:val="24"/>
        </w:rPr>
        <w:t xml:space="preserve">CoC and ESG COVID-19 waivers, </w:t>
      </w:r>
      <w:r w:rsidR="00531643" w:rsidRPr="00EC479E">
        <w:rPr>
          <w:rFonts w:ascii="Calibri" w:hAnsi="Calibri" w:cs="Calibri"/>
          <w:sz w:val="24"/>
          <w:szCs w:val="24"/>
        </w:rPr>
        <w:t xml:space="preserve">agencies </w:t>
      </w:r>
      <w:r w:rsidR="0067286B">
        <w:rPr>
          <w:rFonts w:ascii="Calibri" w:hAnsi="Calibri" w:cs="Calibri"/>
          <w:sz w:val="24"/>
          <w:szCs w:val="24"/>
        </w:rPr>
        <w:t xml:space="preserve">are required </w:t>
      </w:r>
      <w:r w:rsidR="00531643" w:rsidRPr="00EC479E">
        <w:rPr>
          <w:rFonts w:ascii="Calibri" w:hAnsi="Calibri" w:cs="Calibri"/>
          <w:sz w:val="24"/>
          <w:szCs w:val="24"/>
        </w:rPr>
        <w:t xml:space="preserve">to have policies authorizing such pay and governing the use of such waivers.  </w:t>
      </w:r>
    </w:p>
    <w:p w14:paraId="1128A9C0" w14:textId="1EBFA720" w:rsidR="008A2389" w:rsidRPr="001F2F14" w:rsidRDefault="008A2389" w:rsidP="002D5DC5">
      <w:pPr>
        <w:jc w:val="both"/>
        <w:rPr>
          <w:rFonts w:ascii="Calibri" w:hAnsi="Calibri" w:cs="Calibri"/>
          <w:sz w:val="24"/>
          <w:szCs w:val="24"/>
        </w:rPr>
      </w:pPr>
      <w:r>
        <w:rPr>
          <w:rFonts w:ascii="Calibri" w:hAnsi="Calibri" w:cs="Calibri"/>
          <w:sz w:val="24"/>
          <w:szCs w:val="24"/>
        </w:rPr>
        <w:t>On</w:t>
      </w:r>
      <w:r w:rsidR="003E38B5">
        <w:rPr>
          <w:rFonts w:ascii="Calibri" w:hAnsi="Calibri" w:cs="Calibri"/>
          <w:sz w:val="24"/>
          <w:szCs w:val="24"/>
        </w:rPr>
        <w:t xml:space="preserve"> </w:t>
      </w:r>
      <w:r w:rsidR="005013CB">
        <w:rPr>
          <w:rFonts w:ascii="Calibri" w:hAnsi="Calibri" w:cs="Calibri"/>
          <w:sz w:val="24"/>
          <w:szCs w:val="24"/>
        </w:rPr>
        <w:t>October 12, 2020</w:t>
      </w:r>
      <w:r>
        <w:rPr>
          <w:rFonts w:ascii="Calibri" w:hAnsi="Calibri"/>
          <w:sz w:val="24"/>
          <w:szCs w:val="24"/>
        </w:rPr>
        <w:t xml:space="preserve"> the CT BOS CoC issued a</w:t>
      </w:r>
      <w:r w:rsidR="00D8557C">
        <w:rPr>
          <w:rFonts w:ascii="Calibri" w:hAnsi="Calibri"/>
          <w:sz w:val="24"/>
          <w:szCs w:val="24"/>
        </w:rPr>
        <w:t xml:space="preserve">n updated </w:t>
      </w:r>
      <w:r>
        <w:rPr>
          <w:rFonts w:ascii="Calibri" w:hAnsi="Calibri"/>
          <w:sz w:val="24"/>
          <w:szCs w:val="24"/>
        </w:rPr>
        <w:t xml:space="preserve"> </w:t>
      </w:r>
      <w:hyperlink r:id="rId11" w:history="1">
        <w:r w:rsidRPr="005013CB">
          <w:rPr>
            <w:rStyle w:val="Hyperlink"/>
            <w:rFonts w:ascii="Calibri" w:hAnsi="Calibri"/>
            <w:sz w:val="24"/>
            <w:szCs w:val="24"/>
          </w:rPr>
          <w:t>memo to CT BOS CoC and DOH ESG funded provider agencies</w:t>
        </w:r>
      </w:hyperlink>
      <w:r>
        <w:rPr>
          <w:rFonts w:ascii="Calibri" w:hAnsi="Calibri"/>
          <w:sz w:val="24"/>
          <w:szCs w:val="24"/>
        </w:rPr>
        <w:t xml:space="preserve"> containing a summary of </w:t>
      </w:r>
      <w:r w:rsidR="00D8557C">
        <w:rPr>
          <w:rFonts w:ascii="Calibri" w:hAnsi="Calibri"/>
          <w:sz w:val="24"/>
          <w:szCs w:val="24"/>
        </w:rPr>
        <w:t>all</w:t>
      </w:r>
      <w:r>
        <w:rPr>
          <w:rFonts w:ascii="Calibri" w:hAnsi="Calibri"/>
          <w:sz w:val="24"/>
          <w:szCs w:val="24"/>
        </w:rPr>
        <w:t xml:space="preserve"> available ESG and CoC waivers, and information about how to use the waivers.</w:t>
      </w:r>
      <w:r w:rsidR="00632A4E">
        <w:rPr>
          <w:rFonts w:ascii="Calibri" w:hAnsi="Calibri"/>
          <w:sz w:val="24"/>
          <w:szCs w:val="24"/>
        </w:rPr>
        <w:t xml:space="preserve">  </w:t>
      </w:r>
      <w:r w:rsidR="00632A4E" w:rsidRPr="00911E01">
        <w:rPr>
          <w:rFonts w:ascii="Calibri" w:hAnsi="Calibri" w:cs="Calibri"/>
          <w:sz w:val="24"/>
          <w:szCs w:val="24"/>
        </w:rPr>
        <w:t>For consistency across funding streams, d</w:t>
      </w:r>
      <w:r w:rsidR="00632A4E" w:rsidRPr="006F060E">
        <w:rPr>
          <w:rFonts w:ascii="Calibri" w:hAnsi="Calibri" w:cs="Calibri"/>
          <w:sz w:val="24"/>
          <w:szCs w:val="24"/>
        </w:rPr>
        <w:t xml:space="preserve">uring the COVID-19 crisis, the Connecticut </w:t>
      </w:r>
      <w:r w:rsidR="00632A4E" w:rsidRPr="00865E4E">
        <w:rPr>
          <w:rFonts w:ascii="Calibri" w:hAnsi="Calibri" w:cs="Calibri"/>
          <w:sz w:val="24"/>
          <w:szCs w:val="24"/>
        </w:rPr>
        <w:t xml:space="preserve">CT Department of Housing (CT DOH) </w:t>
      </w:r>
      <w:r w:rsidR="00632A4E" w:rsidRPr="00911E01">
        <w:rPr>
          <w:rFonts w:ascii="Calibri" w:hAnsi="Calibri" w:cs="Calibri"/>
          <w:sz w:val="24"/>
          <w:szCs w:val="24"/>
        </w:rPr>
        <w:t>has enabled</w:t>
      </w:r>
      <w:r w:rsidR="00632A4E" w:rsidRPr="006F060E">
        <w:rPr>
          <w:rFonts w:ascii="Calibri" w:hAnsi="Calibri" w:cs="Calibri"/>
          <w:sz w:val="24"/>
          <w:szCs w:val="24"/>
        </w:rPr>
        <w:t xml:space="preserve"> use of applicable waivers for</w:t>
      </w:r>
      <w:r w:rsidR="00632A4E" w:rsidRPr="00865E4E">
        <w:rPr>
          <w:rFonts w:ascii="Calibri" w:hAnsi="Calibri" w:cs="Calibri"/>
          <w:sz w:val="24"/>
          <w:szCs w:val="24"/>
        </w:rPr>
        <w:t xml:space="preserve"> </w:t>
      </w:r>
      <w:r w:rsidR="0067286B">
        <w:rPr>
          <w:rFonts w:ascii="Calibri" w:hAnsi="Calibri" w:cs="Calibri"/>
          <w:sz w:val="24"/>
          <w:szCs w:val="24"/>
        </w:rPr>
        <w:t xml:space="preserve">their </w:t>
      </w:r>
      <w:r w:rsidR="00632A4E" w:rsidRPr="00865E4E">
        <w:rPr>
          <w:rFonts w:ascii="Calibri" w:hAnsi="Calibri" w:cs="Calibri"/>
          <w:sz w:val="24"/>
          <w:szCs w:val="24"/>
        </w:rPr>
        <w:t xml:space="preserve">Emergency Solutions Grant (ESG) </w:t>
      </w:r>
      <w:r w:rsidR="0067286B">
        <w:rPr>
          <w:rFonts w:ascii="Calibri" w:hAnsi="Calibri" w:cs="Calibri"/>
          <w:sz w:val="24"/>
          <w:szCs w:val="24"/>
        </w:rPr>
        <w:t xml:space="preserve">and CoC </w:t>
      </w:r>
      <w:r w:rsidR="00632A4E" w:rsidRPr="00865E4E">
        <w:rPr>
          <w:rFonts w:ascii="Calibri" w:hAnsi="Calibri" w:cs="Calibri"/>
          <w:sz w:val="24"/>
          <w:szCs w:val="24"/>
        </w:rPr>
        <w:t xml:space="preserve">Rapid Rehousing (RRH) </w:t>
      </w:r>
      <w:r w:rsidR="0067286B">
        <w:rPr>
          <w:rFonts w:ascii="Calibri" w:hAnsi="Calibri" w:cs="Calibri"/>
          <w:sz w:val="24"/>
          <w:szCs w:val="24"/>
        </w:rPr>
        <w:t xml:space="preserve">projects and the CT Department of Mental Health and Addiction Services (CT DMHAS) enabled use of the applicable </w:t>
      </w:r>
      <w:r w:rsidR="0067286B" w:rsidRPr="001F2F14">
        <w:rPr>
          <w:rFonts w:ascii="Calibri" w:hAnsi="Calibri" w:cs="Calibri"/>
          <w:sz w:val="24"/>
          <w:szCs w:val="24"/>
        </w:rPr>
        <w:t>waivers for their CoC Permanent Supportive Housing (PSH) projects.</w:t>
      </w:r>
    </w:p>
    <w:p w14:paraId="6004EA36" w14:textId="3BD0A543" w:rsidR="00C35B36" w:rsidRPr="001F2F14" w:rsidRDefault="006C2A47" w:rsidP="002D5DC5">
      <w:pPr>
        <w:jc w:val="both"/>
        <w:rPr>
          <w:rFonts w:ascii="Calibri" w:hAnsi="Calibri" w:cs="Calibri"/>
          <w:sz w:val="24"/>
          <w:szCs w:val="24"/>
        </w:rPr>
      </w:pPr>
      <w:r w:rsidRPr="001F2F14">
        <w:rPr>
          <w:rFonts w:ascii="Calibri" w:hAnsi="Calibri" w:cs="Calibri"/>
          <w:sz w:val="24"/>
          <w:szCs w:val="24"/>
        </w:rPr>
        <w:t>This document includes the following sample policies:</w:t>
      </w:r>
    </w:p>
    <w:p w14:paraId="379A140D" w14:textId="77777777" w:rsidR="00911E01" w:rsidRPr="001F2F14" w:rsidRDefault="00911E01" w:rsidP="002D5DC5">
      <w:pPr>
        <w:pStyle w:val="Title"/>
        <w:numPr>
          <w:ilvl w:val="0"/>
          <w:numId w:val="3"/>
        </w:numPr>
        <w:jc w:val="both"/>
        <w:rPr>
          <w:rFonts w:ascii="Calibri" w:hAnsi="Calibri" w:cs="Calibri"/>
          <w:sz w:val="24"/>
          <w:szCs w:val="24"/>
        </w:rPr>
      </w:pPr>
      <w:r w:rsidRPr="001F2F14">
        <w:rPr>
          <w:rFonts w:ascii="Calibri" w:hAnsi="Calibri" w:cs="Calibri"/>
          <w:sz w:val="24"/>
          <w:szCs w:val="24"/>
        </w:rPr>
        <w:t>Sample Policies for Emergency Operation of Homeless Assistance Programs in the Event of Public Heath Emergencies or Natural Disasters – necessary to enable use of CoC and ESG funds for hazard pay. (See below)</w:t>
      </w:r>
    </w:p>
    <w:p w14:paraId="2D0008EC" w14:textId="77777777" w:rsidR="00C35B36" w:rsidRPr="001F2F14" w:rsidRDefault="00EB6F57" w:rsidP="002D5DC5">
      <w:pPr>
        <w:pStyle w:val="Title"/>
        <w:numPr>
          <w:ilvl w:val="0"/>
          <w:numId w:val="3"/>
        </w:numPr>
        <w:jc w:val="both"/>
        <w:rPr>
          <w:rFonts w:cstheme="minorHAnsi"/>
          <w:sz w:val="24"/>
          <w:szCs w:val="24"/>
        </w:rPr>
      </w:pPr>
      <w:r w:rsidRPr="001F2F14">
        <w:rPr>
          <w:rFonts w:asciiTheme="minorHAnsi" w:hAnsiTheme="minorHAnsi" w:cstheme="minorHAnsi"/>
          <w:sz w:val="24"/>
          <w:szCs w:val="24"/>
        </w:rPr>
        <w:t xml:space="preserve">Sample </w:t>
      </w:r>
      <w:r w:rsidR="00911E01" w:rsidRPr="001F2F14">
        <w:rPr>
          <w:rFonts w:asciiTheme="minorHAnsi" w:hAnsiTheme="minorHAnsi" w:cstheme="minorHAnsi"/>
          <w:sz w:val="24"/>
          <w:szCs w:val="24"/>
        </w:rPr>
        <w:t xml:space="preserve">Implementation of Emergency Procedures for Continuum of Care and Emergency Solutions Grant Programs in Response to COVID-19 Health Emergency </w:t>
      </w:r>
      <w:r w:rsidR="00F3784F" w:rsidRPr="001F2F14">
        <w:rPr>
          <w:rFonts w:asciiTheme="minorHAnsi" w:hAnsiTheme="minorHAnsi" w:cstheme="minorHAnsi"/>
          <w:sz w:val="24"/>
          <w:szCs w:val="24"/>
        </w:rPr>
        <w:t xml:space="preserve">– necessary to enable use of COVID-19 CoC and ESG Program Waivers </w:t>
      </w:r>
      <w:r w:rsidR="00911E01" w:rsidRPr="001F2F14">
        <w:rPr>
          <w:rFonts w:asciiTheme="minorHAnsi" w:hAnsiTheme="minorHAnsi" w:cstheme="minorHAnsi"/>
          <w:sz w:val="24"/>
          <w:szCs w:val="24"/>
        </w:rPr>
        <w:t>(</w:t>
      </w:r>
      <w:r w:rsidR="006F060E" w:rsidRPr="001F2F14">
        <w:rPr>
          <w:rFonts w:asciiTheme="minorHAnsi" w:hAnsiTheme="minorHAnsi" w:cstheme="minorHAnsi"/>
          <w:sz w:val="24"/>
          <w:szCs w:val="24"/>
        </w:rPr>
        <w:t>See Appendix)</w:t>
      </w:r>
    </w:p>
    <w:p w14:paraId="7563032C" w14:textId="0A0342C4" w:rsidR="00EB6F57" w:rsidRPr="001F2F14" w:rsidRDefault="00EB6F57" w:rsidP="002D5DC5">
      <w:pPr>
        <w:pStyle w:val="Title"/>
        <w:jc w:val="both"/>
        <w:rPr>
          <w:rFonts w:cstheme="majorHAnsi"/>
          <w:color w:val="2F5496" w:themeColor="accent1" w:themeShade="BF"/>
          <w:sz w:val="24"/>
          <w:szCs w:val="24"/>
        </w:rPr>
      </w:pPr>
    </w:p>
    <w:p w14:paraId="3A250E07" w14:textId="28BBA3A7" w:rsidR="00ED66A5" w:rsidRPr="001F2F14" w:rsidRDefault="00ED66A5" w:rsidP="00ED66A5">
      <w:pPr>
        <w:rPr>
          <w:color w:val="FF0000"/>
          <w:sz w:val="24"/>
          <w:szCs w:val="24"/>
        </w:rPr>
      </w:pPr>
      <w:r w:rsidRPr="001F2F14">
        <w:rPr>
          <w:color w:val="FF0000"/>
          <w:sz w:val="24"/>
          <w:szCs w:val="24"/>
        </w:rPr>
        <w:t>Changes made since the 5/27/20 version of this sample policy are indicated in red text.  This is intended to make it easier for agencies that already adopted policies based on the previously provided sample to update those policies.</w:t>
      </w:r>
    </w:p>
    <w:p w14:paraId="727DAD16" w14:textId="77777777" w:rsidR="0005523D" w:rsidRDefault="00EB6F57" w:rsidP="002D5DC5">
      <w:pPr>
        <w:pStyle w:val="Heading1"/>
        <w:jc w:val="both"/>
      </w:pPr>
      <w:bookmarkStart w:id="2" w:name="_Toc52973326"/>
      <w:r>
        <w:t>Instructions</w:t>
      </w:r>
      <w:bookmarkEnd w:id="2"/>
    </w:p>
    <w:p w14:paraId="5A6619CE" w14:textId="77777777" w:rsidR="00EB6F57" w:rsidRPr="001F2F14" w:rsidRDefault="00EB6F57" w:rsidP="002D5DC5">
      <w:pPr>
        <w:jc w:val="both"/>
        <w:rPr>
          <w:sz w:val="24"/>
          <w:szCs w:val="24"/>
        </w:rPr>
      </w:pPr>
      <w:r w:rsidRPr="001F2F14">
        <w:rPr>
          <w:sz w:val="24"/>
          <w:szCs w:val="24"/>
        </w:rPr>
        <w:t>For agencies wishing to expend CoC and/or ESG funds on hazard pay for staff:</w:t>
      </w:r>
    </w:p>
    <w:p w14:paraId="19F8D492" w14:textId="77777777" w:rsidR="00EB6F57" w:rsidRPr="001F2F14" w:rsidRDefault="00EB6F57" w:rsidP="002D5DC5">
      <w:pPr>
        <w:pStyle w:val="ListParagraph"/>
        <w:numPr>
          <w:ilvl w:val="0"/>
          <w:numId w:val="8"/>
        </w:numPr>
        <w:jc w:val="both"/>
        <w:rPr>
          <w:sz w:val="24"/>
          <w:szCs w:val="24"/>
        </w:rPr>
      </w:pPr>
      <w:r w:rsidRPr="001F2F14">
        <w:rPr>
          <w:rFonts w:ascii="Calibri" w:hAnsi="Calibri"/>
          <w:sz w:val="24"/>
          <w:szCs w:val="24"/>
        </w:rPr>
        <w:t xml:space="preserve">Regardless of whether your agency is a direct recipient or subrecipient of the HUD funds, you must adopt </w:t>
      </w:r>
      <w:r w:rsidR="00540EC0" w:rsidRPr="001F2F14">
        <w:rPr>
          <w:rFonts w:ascii="Calibri" w:hAnsi="Calibri"/>
          <w:sz w:val="24"/>
          <w:szCs w:val="24"/>
        </w:rPr>
        <w:t xml:space="preserve">the Sample </w:t>
      </w:r>
      <w:r w:rsidRPr="001F2F14">
        <w:rPr>
          <w:rFonts w:ascii="Calibri" w:hAnsi="Calibri" w:cs="Calibri"/>
          <w:sz w:val="24"/>
          <w:szCs w:val="24"/>
        </w:rPr>
        <w:t xml:space="preserve">Policies for Emergency Operation of Homeless Assistance Programs in the Event of Public Heath Emergencies or Natural Disasters (See sample below) </w:t>
      </w:r>
      <w:r w:rsidRPr="001F2F14">
        <w:rPr>
          <w:rFonts w:cstheme="minorHAnsi"/>
          <w:sz w:val="24"/>
          <w:szCs w:val="24"/>
        </w:rPr>
        <w:t>or similar policies</w:t>
      </w:r>
    </w:p>
    <w:p w14:paraId="79FFAB9E" w14:textId="77777777" w:rsidR="00EB6F57" w:rsidRPr="001F2F14" w:rsidRDefault="00EB6F57" w:rsidP="002D5DC5">
      <w:pPr>
        <w:jc w:val="both"/>
        <w:rPr>
          <w:sz w:val="24"/>
          <w:szCs w:val="24"/>
        </w:rPr>
      </w:pPr>
      <w:r w:rsidRPr="001F2F14">
        <w:rPr>
          <w:sz w:val="24"/>
          <w:szCs w:val="24"/>
        </w:rPr>
        <w:t xml:space="preserve">For agencies wishing to use </w:t>
      </w:r>
      <w:r w:rsidR="00540EC0" w:rsidRPr="001F2F14">
        <w:rPr>
          <w:sz w:val="24"/>
          <w:szCs w:val="24"/>
        </w:rPr>
        <w:t xml:space="preserve">all available </w:t>
      </w:r>
      <w:r w:rsidRPr="001F2F14">
        <w:rPr>
          <w:sz w:val="24"/>
          <w:szCs w:val="24"/>
        </w:rPr>
        <w:t>CoC/ESG COVID-19 waivers:</w:t>
      </w:r>
    </w:p>
    <w:p w14:paraId="6067D0A5" w14:textId="2FA92780" w:rsidR="00EB6F57" w:rsidRPr="00DE1145" w:rsidRDefault="00EB6F57" w:rsidP="002D5DC5">
      <w:pPr>
        <w:pStyle w:val="Title"/>
        <w:numPr>
          <w:ilvl w:val="0"/>
          <w:numId w:val="3"/>
        </w:numPr>
        <w:jc w:val="both"/>
        <w:rPr>
          <w:rFonts w:asciiTheme="minorHAnsi" w:hAnsiTheme="minorHAnsi" w:cstheme="minorHAnsi"/>
          <w:sz w:val="24"/>
          <w:szCs w:val="24"/>
        </w:rPr>
      </w:pPr>
      <w:r w:rsidRPr="00DE1145">
        <w:rPr>
          <w:rFonts w:asciiTheme="minorHAnsi" w:hAnsiTheme="minorHAnsi" w:cstheme="minorHAnsi"/>
          <w:sz w:val="24"/>
          <w:szCs w:val="24"/>
        </w:rPr>
        <w:lastRenderedPageBreak/>
        <w:t xml:space="preserve">If your agency has a CoC grant agreement directly with HUD, you must adopt </w:t>
      </w:r>
      <w:r w:rsidR="00540EC0" w:rsidRPr="00DE1145">
        <w:rPr>
          <w:rFonts w:asciiTheme="minorHAnsi" w:hAnsiTheme="minorHAnsi" w:cstheme="minorHAnsi"/>
          <w:sz w:val="24"/>
          <w:szCs w:val="24"/>
        </w:rPr>
        <w:t>the Sample</w:t>
      </w:r>
      <w:r w:rsidRPr="00DE1145">
        <w:rPr>
          <w:rFonts w:asciiTheme="minorHAnsi" w:hAnsiTheme="minorHAnsi" w:cstheme="minorHAnsi"/>
          <w:sz w:val="24"/>
          <w:szCs w:val="24"/>
        </w:rPr>
        <w:t xml:space="preserve"> Implementation of Emergency Procedures for Continuum of Care and Emergency Solutions Grant Programs in Response to COVID-19 Health Emergency (See Appendix</w:t>
      </w:r>
      <w:r w:rsidR="009040D6" w:rsidRPr="00DE1145">
        <w:rPr>
          <w:rFonts w:asciiTheme="minorHAnsi" w:hAnsiTheme="minorHAnsi" w:cstheme="minorHAnsi"/>
          <w:sz w:val="24"/>
          <w:szCs w:val="24"/>
        </w:rPr>
        <w:t xml:space="preserve"> 1</w:t>
      </w:r>
      <w:r w:rsidRPr="00DE1145">
        <w:rPr>
          <w:rFonts w:asciiTheme="minorHAnsi" w:hAnsiTheme="minorHAnsi" w:cstheme="minorHAnsi"/>
          <w:sz w:val="24"/>
          <w:szCs w:val="24"/>
        </w:rPr>
        <w:t>) or similar policies</w:t>
      </w:r>
      <w:r w:rsidR="00DE1145">
        <w:rPr>
          <w:rFonts w:asciiTheme="minorHAnsi" w:hAnsiTheme="minorHAnsi" w:cstheme="minorHAnsi"/>
          <w:sz w:val="24"/>
          <w:szCs w:val="24"/>
        </w:rPr>
        <w:t>.</w:t>
      </w:r>
    </w:p>
    <w:p w14:paraId="09BC3AB6" w14:textId="2BC6E376" w:rsidR="00540EC0" w:rsidRPr="00DE1145" w:rsidRDefault="00EB6F57" w:rsidP="002D5DC5">
      <w:pPr>
        <w:pStyle w:val="ListParagraph"/>
        <w:numPr>
          <w:ilvl w:val="0"/>
          <w:numId w:val="7"/>
        </w:numPr>
        <w:jc w:val="both"/>
        <w:rPr>
          <w:rFonts w:cstheme="minorHAnsi"/>
          <w:sz w:val="24"/>
          <w:szCs w:val="24"/>
        </w:rPr>
      </w:pPr>
      <w:r w:rsidRPr="00DE1145">
        <w:rPr>
          <w:rFonts w:cstheme="minorHAnsi"/>
          <w:sz w:val="24"/>
          <w:szCs w:val="24"/>
        </w:rPr>
        <w:t>If your agency is a subrecipient on a CT DMHAS CoC grant and/or a DOH ESG or CoC grant</w:t>
      </w:r>
      <w:r w:rsidR="00B0100C" w:rsidRPr="00DE1145">
        <w:rPr>
          <w:rFonts w:cstheme="minorHAnsi"/>
          <w:sz w:val="24"/>
          <w:szCs w:val="24"/>
        </w:rPr>
        <w:t>,</w:t>
      </w:r>
      <w:r w:rsidR="0038543A" w:rsidRPr="00DE1145">
        <w:rPr>
          <w:rFonts w:cstheme="minorHAnsi"/>
          <w:sz w:val="24"/>
          <w:szCs w:val="24"/>
        </w:rPr>
        <w:t xml:space="preserve"> </w:t>
      </w:r>
      <w:r w:rsidR="00540EC0" w:rsidRPr="00DE1145">
        <w:rPr>
          <w:rFonts w:cstheme="minorHAnsi"/>
          <w:sz w:val="24"/>
          <w:szCs w:val="24"/>
        </w:rPr>
        <w:t>the state agency will adopt the necessary policies, which will cover subrecipient agencies.</w:t>
      </w:r>
    </w:p>
    <w:p w14:paraId="152519C2" w14:textId="075D161F" w:rsidR="00EB6F57" w:rsidRPr="00DE1145" w:rsidRDefault="00EB6F57" w:rsidP="002D5DC5">
      <w:pPr>
        <w:pStyle w:val="ListParagraph"/>
        <w:numPr>
          <w:ilvl w:val="0"/>
          <w:numId w:val="7"/>
        </w:numPr>
        <w:jc w:val="both"/>
        <w:rPr>
          <w:rFonts w:cstheme="minorHAnsi"/>
          <w:sz w:val="24"/>
          <w:szCs w:val="24"/>
        </w:rPr>
      </w:pPr>
      <w:r w:rsidRPr="00DE1145">
        <w:rPr>
          <w:rFonts w:cstheme="minorHAnsi"/>
          <w:sz w:val="24"/>
          <w:szCs w:val="24"/>
        </w:rPr>
        <w:t xml:space="preserve">Subrecipients of ESG funds administered by a recipient </w:t>
      </w:r>
      <w:r w:rsidRPr="00DE1145">
        <w:rPr>
          <w:rFonts w:cstheme="minorHAnsi"/>
          <w:bCs/>
          <w:sz w:val="24"/>
          <w:szCs w:val="24"/>
        </w:rPr>
        <w:t xml:space="preserve">other than </w:t>
      </w:r>
      <w:r w:rsidR="00540EC0" w:rsidRPr="00DE1145">
        <w:rPr>
          <w:rFonts w:cstheme="minorHAnsi"/>
          <w:bCs/>
          <w:sz w:val="24"/>
          <w:szCs w:val="24"/>
        </w:rPr>
        <w:t xml:space="preserve">CT </w:t>
      </w:r>
      <w:r w:rsidRPr="00DE1145">
        <w:rPr>
          <w:rFonts w:cstheme="minorHAnsi"/>
          <w:bCs/>
          <w:sz w:val="24"/>
          <w:szCs w:val="24"/>
        </w:rPr>
        <w:t>DOH</w:t>
      </w:r>
      <w:r w:rsidRPr="00DE1145">
        <w:rPr>
          <w:rFonts w:cstheme="minorHAnsi"/>
          <w:sz w:val="24"/>
          <w:szCs w:val="24"/>
        </w:rPr>
        <w:t>, should coordinate with the relevant ESG recipient to determine what waivers they intend to use</w:t>
      </w:r>
      <w:r w:rsidR="00540EC0" w:rsidRPr="00DE1145">
        <w:rPr>
          <w:rFonts w:cstheme="minorHAnsi"/>
          <w:sz w:val="24"/>
          <w:szCs w:val="24"/>
        </w:rPr>
        <w:t xml:space="preserve"> and adopt the relevant portions of Sample </w:t>
      </w:r>
      <w:r w:rsidR="00540EC0" w:rsidRPr="00DE1145">
        <w:rPr>
          <w:rFonts w:eastAsiaTheme="majorEastAsia" w:cstheme="minorHAnsi"/>
          <w:spacing w:val="-10"/>
          <w:kern w:val="28"/>
          <w:sz w:val="24"/>
          <w:szCs w:val="24"/>
        </w:rPr>
        <w:t xml:space="preserve">Implementation of Emergency Procedures for Continuum of Care </w:t>
      </w:r>
      <w:r w:rsidR="00540EC0" w:rsidRPr="00DE1145">
        <w:rPr>
          <w:rFonts w:cstheme="minorHAnsi"/>
          <w:sz w:val="24"/>
          <w:szCs w:val="24"/>
        </w:rPr>
        <w:t xml:space="preserve">and Emergency Solutions Grant </w:t>
      </w:r>
      <w:r w:rsidR="00540EC0" w:rsidRPr="00DE1145">
        <w:rPr>
          <w:rFonts w:eastAsiaTheme="majorEastAsia" w:cstheme="minorHAnsi"/>
          <w:spacing w:val="-10"/>
          <w:kern w:val="28"/>
          <w:sz w:val="24"/>
          <w:szCs w:val="24"/>
        </w:rPr>
        <w:t>Programs in Response to COVID-19 Health Emergency</w:t>
      </w:r>
      <w:r w:rsidR="00540EC0" w:rsidRPr="00DE1145">
        <w:rPr>
          <w:rFonts w:cstheme="minorHAnsi"/>
          <w:sz w:val="24"/>
          <w:szCs w:val="24"/>
        </w:rPr>
        <w:t xml:space="preserve"> </w:t>
      </w:r>
      <w:r w:rsidR="00540EC0" w:rsidRPr="00DE1145">
        <w:rPr>
          <w:rFonts w:eastAsiaTheme="majorEastAsia" w:cstheme="minorHAnsi"/>
          <w:spacing w:val="-10"/>
          <w:kern w:val="28"/>
          <w:sz w:val="24"/>
          <w:szCs w:val="24"/>
        </w:rPr>
        <w:t>(</w:t>
      </w:r>
      <w:r w:rsidR="00540EC0" w:rsidRPr="00DE1145">
        <w:rPr>
          <w:rFonts w:cstheme="minorHAnsi"/>
          <w:sz w:val="24"/>
          <w:szCs w:val="24"/>
        </w:rPr>
        <w:t>See Appendix</w:t>
      </w:r>
      <w:r w:rsidR="009040D6" w:rsidRPr="00DE1145">
        <w:rPr>
          <w:rFonts w:cstheme="minorHAnsi"/>
          <w:sz w:val="24"/>
          <w:szCs w:val="24"/>
        </w:rPr>
        <w:t xml:space="preserve"> 1</w:t>
      </w:r>
      <w:r w:rsidR="00540EC0" w:rsidRPr="00DE1145">
        <w:rPr>
          <w:rFonts w:cstheme="minorHAnsi"/>
          <w:sz w:val="24"/>
          <w:szCs w:val="24"/>
        </w:rPr>
        <w:t>) or similar policies</w:t>
      </w:r>
      <w:r w:rsidR="00DE1145" w:rsidRPr="00DE1145">
        <w:rPr>
          <w:rFonts w:cstheme="minorHAnsi"/>
          <w:sz w:val="24"/>
          <w:szCs w:val="24"/>
        </w:rPr>
        <w:t>.</w:t>
      </w:r>
    </w:p>
    <w:p w14:paraId="22661B93" w14:textId="6B4EEE0A" w:rsidR="001F2F14" w:rsidRDefault="001F2F14" w:rsidP="002D5DC5">
      <w:pPr>
        <w:jc w:val="both"/>
        <w:rPr>
          <w:sz w:val="24"/>
          <w:szCs w:val="24"/>
        </w:rPr>
      </w:pPr>
      <w:r>
        <w:rPr>
          <w:sz w:val="24"/>
          <w:szCs w:val="24"/>
        </w:rPr>
        <w:t>In all instances, agencies should review and customize the enclosed sample policies based on the particular types of programs operated by the agency and to ensure that the sample policies accurately reflect procedures at your agency.</w:t>
      </w:r>
    </w:p>
    <w:p w14:paraId="4B59DF73" w14:textId="61375288" w:rsidR="00EB6F57" w:rsidRPr="00DE1145" w:rsidRDefault="009040D6" w:rsidP="002D5DC5">
      <w:pPr>
        <w:jc w:val="both"/>
        <w:rPr>
          <w:sz w:val="24"/>
          <w:szCs w:val="24"/>
        </w:rPr>
      </w:pPr>
      <w:r w:rsidRPr="00DE1145">
        <w:rPr>
          <w:sz w:val="24"/>
          <w:szCs w:val="24"/>
        </w:rPr>
        <w:t>For additional information on recipient and subrecipient obligations to adopt required policies and maintain required documentation in participant files, please see Appendix 2.</w:t>
      </w:r>
    </w:p>
    <w:p w14:paraId="4E946BE4" w14:textId="10106007" w:rsidR="0067286B" w:rsidRPr="00DE1145" w:rsidRDefault="006C2A47" w:rsidP="002D5DC5">
      <w:pPr>
        <w:pStyle w:val="Heading1"/>
        <w:jc w:val="both"/>
        <w:rPr>
          <w:sz w:val="40"/>
          <w:szCs w:val="40"/>
        </w:rPr>
      </w:pPr>
      <w:bookmarkStart w:id="3" w:name="_Toc52973327"/>
      <w:r w:rsidRPr="00DE1145">
        <w:rPr>
          <w:sz w:val="40"/>
          <w:szCs w:val="40"/>
        </w:rPr>
        <w:t>SAMPLE</w:t>
      </w:r>
      <w:r w:rsidR="0067286B" w:rsidRPr="00DE1145">
        <w:rPr>
          <w:sz w:val="40"/>
          <w:szCs w:val="40"/>
        </w:rPr>
        <w:t xml:space="preserve"> Policies for Emergency Operation of Homeless Assistance Programs in the Event of Public Heath Emergencies or Natural Disasters</w:t>
      </w:r>
      <w:bookmarkEnd w:id="3"/>
    </w:p>
    <w:bookmarkEnd w:id="0"/>
    <w:p w14:paraId="4D6FEFAD" w14:textId="77777777" w:rsidR="00DE1145" w:rsidRDefault="00DE1145" w:rsidP="002D5DC5">
      <w:pPr>
        <w:jc w:val="both"/>
      </w:pPr>
    </w:p>
    <w:p w14:paraId="2EFBEE88" w14:textId="5F40A111" w:rsidR="00DA44F8" w:rsidRPr="00DE1145" w:rsidRDefault="00DA44F8" w:rsidP="002D5DC5">
      <w:pPr>
        <w:jc w:val="both"/>
        <w:rPr>
          <w:color w:val="2F5496" w:themeColor="accent1" w:themeShade="BF"/>
          <w:sz w:val="32"/>
          <w:szCs w:val="32"/>
        </w:rPr>
      </w:pPr>
      <w:r w:rsidRPr="00DE1145">
        <w:rPr>
          <w:color w:val="2F5496" w:themeColor="accent1" w:themeShade="BF"/>
          <w:sz w:val="32"/>
          <w:szCs w:val="32"/>
        </w:rPr>
        <w:t>Applicability</w:t>
      </w:r>
    </w:p>
    <w:p w14:paraId="11FAB60B" w14:textId="77777777" w:rsidR="00580DB0" w:rsidRDefault="007167FD" w:rsidP="002D5DC5">
      <w:pPr>
        <w:jc w:val="both"/>
      </w:pPr>
      <w:r>
        <w:t xml:space="preserve">The Governing Board </w:t>
      </w:r>
      <w:r w:rsidR="00CC3C9D">
        <w:t xml:space="preserve">of the agency </w:t>
      </w:r>
      <w:r>
        <w:t xml:space="preserve">shall designate either the organization’s Chief </w:t>
      </w:r>
      <w:r w:rsidR="00DA44F8">
        <w:t>Executive Office</w:t>
      </w:r>
      <w:r w:rsidR="00CC3C9D">
        <w:t>r,</w:t>
      </w:r>
      <w:r w:rsidR="00DA44F8">
        <w:t xml:space="preserve"> Chair of the </w:t>
      </w:r>
      <w:r w:rsidR="00A12758">
        <w:t>Governing Board</w:t>
      </w:r>
      <w:r w:rsidR="00CD0779">
        <w:t>,</w:t>
      </w:r>
      <w:r w:rsidR="00A12758">
        <w:t xml:space="preserve"> or such other person(s) as the Governing Board shall </w:t>
      </w:r>
      <w:r w:rsidR="00C53C37">
        <w:t>d</w:t>
      </w:r>
      <w:r w:rsidR="00160785">
        <w:t>e</w:t>
      </w:r>
      <w:r w:rsidR="00F33D7A">
        <w:t>cide</w:t>
      </w:r>
      <w:r w:rsidR="00C53C37">
        <w:t xml:space="preserve"> as the Organization’s </w:t>
      </w:r>
      <w:r w:rsidR="00754CB2">
        <w:t>“</w:t>
      </w:r>
      <w:r w:rsidR="00C53C37">
        <w:t>Authorized Official</w:t>
      </w:r>
      <w:r w:rsidR="00ED1137">
        <w:t>,</w:t>
      </w:r>
      <w:r w:rsidR="00754CB2">
        <w:t xml:space="preserve">” </w:t>
      </w:r>
      <w:r w:rsidR="00CD0779">
        <w:t xml:space="preserve">authorized to make a </w:t>
      </w:r>
      <w:r w:rsidR="00DA44F8">
        <w:t>formal determination to implement the</w:t>
      </w:r>
      <w:r w:rsidR="00580DB0">
        <w:t xml:space="preserve">se </w:t>
      </w:r>
      <w:r w:rsidR="00ED2F14" w:rsidRPr="00ED2F14">
        <w:t>Policies for Operation of Homeless Assistance Programs in the Event of Public Heath Emergencies or Natural Disasters</w:t>
      </w:r>
      <w:r w:rsidR="00DA44F8">
        <w:t xml:space="preserve"> </w:t>
      </w:r>
      <w:r w:rsidR="00ED2F14">
        <w:t>[</w:t>
      </w:r>
      <w:r w:rsidR="00DA44F8">
        <w:t>Emergency Policies</w:t>
      </w:r>
      <w:r w:rsidR="00ED2F14">
        <w:t>]</w:t>
      </w:r>
      <w:r w:rsidR="00DA44F8">
        <w:t>.</w:t>
      </w:r>
      <w:r w:rsidR="005C1918">
        <w:t xml:space="preserve"> </w:t>
      </w:r>
    </w:p>
    <w:p w14:paraId="5A268748" w14:textId="77777777" w:rsidR="00DA44F8" w:rsidRDefault="00DA44F8" w:rsidP="002D5DC5">
      <w:pPr>
        <w:jc w:val="both"/>
      </w:pPr>
      <w:r>
        <w:t xml:space="preserve">This action can only be taken when a disaster or public health emergency has been declared by authorized State or Local Health Officials, the Governor of the State, or the President of the United States. When that declaration has been made, the </w:t>
      </w:r>
      <w:r w:rsidR="006114A8">
        <w:t>A</w:t>
      </w:r>
      <w:r>
        <w:t xml:space="preserve">uthorized </w:t>
      </w:r>
      <w:r w:rsidR="006114A8">
        <w:t>O</w:t>
      </w:r>
      <w:r>
        <w:t>fficial must determine whether the agency is impacted by the crisis and the necessity of taking emergency actions to protect the health and well-being of all persons including agency staff, agency clients, and members of the public who may be affected by agency operations.</w:t>
      </w:r>
      <w:r w:rsidR="005C1918">
        <w:t xml:space="preserve"> If the determination is positive, the </w:t>
      </w:r>
      <w:r w:rsidR="0032431B">
        <w:t>A</w:t>
      </w:r>
      <w:r w:rsidR="005C1918">
        <w:t xml:space="preserve">uthorized </w:t>
      </w:r>
      <w:r w:rsidR="0032431B">
        <w:t>O</w:t>
      </w:r>
      <w:r w:rsidR="005C1918">
        <w:t xml:space="preserve">fficial </w:t>
      </w:r>
      <w:r w:rsidR="006D0C2C">
        <w:t>shall</w:t>
      </w:r>
      <w:r w:rsidR="005C1918">
        <w:t xml:space="preserve"> declare that the Emergency Policies are in effect.</w:t>
      </w:r>
    </w:p>
    <w:p w14:paraId="1320B358" w14:textId="77777777" w:rsidR="006D0C2C" w:rsidRDefault="006D0C2C" w:rsidP="002D5DC5">
      <w:pPr>
        <w:jc w:val="both"/>
      </w:pPr>
      <w:r>
        <w:t xml:space="preserve">Once implemented, the Emergency Policies supersede any </w:t>
      </w:r>
      <w:r w:rsidR="00525184">
        <w:t>agenc</w:t>
      </w:r>
      <w:r w:rsidR="003E1981">
        <w:t>y</w:t>
      </w:r>
      <w:r w:rsidR="00525184">
        <w:t xml:space="preserve"> policies and procedures in effect prior to the Emergency Declaration. </w:t>
      </w:r>
      <w:r w:rsidR="008B49C5">
        <w:t>Where there is a conflict between what is specified in the Emergency Policies and what is specified in pre</w:t>
      </w:r>
      <w:r w:rsidR="00AF2965">
        <w:t xml:space="preserve">-existing agency policies, the Emergency Policies shall be followed. Any existing procedures not addressed by or </w:t>
      </w:r>
      <w:r w:rsidR="0051303E">
        <w:t xml:space="preserve">not </w:t>
      </w:r>
      <w:r w:rsidR="00AF2965">
        <w:t xml:space="preserve">in conflict with the </w:t>
      </w:r>
      <w:r w:rsidR="00D056BF">
        <w:t xml:space="preserve">Emergency Policies remain in full effect. </w:t>
      </w:r>
    </w:p>
    <w:p w14:paraId="688CF6CE" w14:textId="77777777" w:rsidR="00DA44F8" w:rsidRDefault="005C1918" w:rsidP="002D5DC5">
      <w:pPr>
        <w:jc w:val="both"/>
      </w:pPr>
      <w:r>
        <w:lastRenderedPageBreak/>
        <w:t xml:space="preserve">Upon implementing the Emergency Policies, the </w:t>
      </w:r>
      <w:r w:rsidR="009708ED">
        <w:t>A</w:t>
      </w:r>
      <w:r>
        <w:t xml:space="preserve">uthorized </w:t>
      </w:r>
      <w:r w:rsidR="009708ED">
        <w:t>O</w:t>
      </w:r>
      <w:r>
        <w:t xml:space="preserve">fficial will promptly notify staff and stakeholders that the Emergency Policies have been implemented. Emergency Policies can be implemented immediately upon notification. Emergency Policies will remain in effect until the sooner of announcement by authorized public officials that the </w:t>
      </w:r>
      <w:r w:rsidR="00D444F8">
        <w:t xml:space="preserve">Public Health </w:t>
      </w:r>
      <w:r>
        <w:t xml:space="preserve">Emergency or </w:t>
      </w:r>
      <w:r w:rsidR="00D444F8">
        <w:t xml:space="preserve">Natural </w:t>
      </w:r>
      <w:r>
        <w:t xml:space="preserve">Disaster has been resolved or determination by the </w:t>
      </w:r>
      <w:r w:rsidR="00E843D5">
        <w:t>A</w:t>
      </w:r>
      <w:r>
        <w:t xml:space="preserve">uthorized </w:t>
      </w:r>
      <w:r w:rsidR="00E843D5">
        <w:t>O</w:t>
      </w:r>
      <w:r>
        <w:t>fficial that there is no longer a need for Emergency Policies.</w:t>
      </w:r>
    </w:p>
    <w:p w14:paraId="02E533C0" w14:textId="77777777" w:rsidR="00D818C9" w:rsidRDefault="00212692" w:rsidP="002D5DC5">
      <w:pPr>
        <w:jc w:val="both"/>
      </w:pPr>
      <w:r>
        <w:t>The Authorized Official will promptly report to the Governing Board all actions taken with respect to the Emergency Policies</w:t>
      </w:r>
      <w:r w:rsidR="0070294C">
        <w:t>.</w:t>
      </w:r>
      <w:r w:rsidR="0057711A">
        <w:t xml:space="preserve"> For long duration emergencies, the Authorized Official shall report to the Governing Board</w:t>
      </w:r>
      <w:r w:rsidR="008D7DE8">
        <w:t xml:space="preserve"> on a schedule specified by the Governing Board.</w:t>
      </w:r>
    </w:p>
    <w:p w14:paraId="2DFF0A58" w14:textId="77777777" w:rsidR="005C1918" w:rsidRPr="00DE1145" w:rsidRDefault="005C1918" w:rsidP="002D5DC5">
      <w:pPr>
        <w:jc w:val="both"/>
        <w:rPr>
          <w:color w:val="2F5496" w:themeColor="accent1" w:themeShade="BF"/>
          <w:sz w:val="32"/>
          <w:szCs w:val="32"/>
        </w:rPr>
      </w:pPr>
      <w:r w:rsidRPr="00DE1145">
        <w:rPr>
          <w:color w:val="2F5496" w:themeColor="accent1" w:themeShade="BF"/>
          <w:sz w:val="32"/>
          <w:szCs w:val="32"/>
        </w:rPr>
        <w:t>Policies:</w:t>
      </w:r>
    </w:p>
    <w:p w14:paraId="2C3C9149" w14:textId="77777777" w:rsidR="005C1918" w:rsidRDefault="00CB4B74" w:rsidP="002D5DC5">
      <w:pPr>
        <w:jc w:val="both"/>
      </w:pPr>
      <w:r>
        <w:t xml:space="preserve">These Emergency Policies shall only be implemented upon adoption by the agency’s </w:t>
      </w:r>
      <w:r w:rsidR="008D7DE8">
        <w:t>G</w:t>
      </w:r>
      <w:r>
        <w:t xml:space="preserve">overning </w:t>
      </w:r>
      <w:r w:rsidR="008D7DE8">
        <w:t>B</w:t>
      </w:r>
      <w:r>
        <w:t xml:space="preserve">oard. </w:t>
      </w:r>
    </w:p>
    <w:p w14:paraId="2A9E7AA8" w14:textId="77777777" w:rsidR="00290B2B" w:rsidRDefault="00CB4B74" w:rsidP="002D5DC5">
      <w:pPr>
        <w:jc w:val="both"/>
      </w:pPr>
      <w:r>
        <w:t xml:space="preserve">Upon the declaration of a </w:t>
      </w:r>
      <w:r w:rsidR="0070294C">
        <w:t>P</w:t>
      </w:r>
      <w:r>
        <w:t xml:space="preserve">ublic </w:t>
      </w:r>
      <w:r w:rsidR="0070294C">
        <w:t>H</w:t>
      </w:r>
      <w:r>
        <w:t xml:space="preserve">ealth </w:t>
      </w:r>
      <w:r w:rsidR="0070294C">
        <w:t>E</w:t>
      </w:r>
      <w:r>
        <w:t xml:space="preserve">mergency or </w:t>
      </w:r>
      <w:r w:rsidR="0094201A">
        <w:t>Natural D</w:t>
      </w:r>
      <w:r>
        <w:t xml:space="preserve">isaster by responsible officials and the determination by the agency </w:t>
      </w:r>
      <w:r w:rsidR="00917CB0">
        <w:t>A</w:t>
      </w:r>
      <w:r>
        <w:t xml:space="preserve">uthorized </w:t>
      </w:r>
      <w:r w:rsidR="00917CB0">
        <w:t>O</w:t>
      </w:r>
      <w:r>
        <w:t xml:space="preserve">fficial </w:t>
      </w:r>
      <w:r w:rsidR="002E0A37">
        <w:t xml:space="preserve">that the emergency or disaster will impact the agency, the </w:t>
      </w:r>
      <w:r w:rsidR="004C04E5">
        <w:t>A</w:t>
      </w:r>
      <w:r w:rsidR="002E0A37">
        <w:t xml:space="preserve">uthorized </w:t>
      </w:r>
      <w:r w:rsidR="004C04E5">
        <w:t>O</w:t>
      </w:r>
      <w:r w:rsidR="002E0A37">
        <w:t xml:space="preserve">fficial will </w:t>
      </w:r>
      <w:r w:rsidR="004954E5">
        <w:t>invoke</w:t>
      </w:r>
      <w:r w:rsidR="002E0A37">
        <w:t xml:space="preserve"> the Emergency Policies. </w:t>
      </w:r>
    </w:p>
    <w:p w14:paraId="1CD45068" w14:textId="77777777" w:rsidR="007F411D" w:rsidRDefault="002E0A37" w:rsidP="002D5DC5">
      <w:pPr>
        <w:jc w:val="both"/>
      </w:pPr>
      <w:r>
        <w:t xml:space="preserve">Emergencies and disasters differ in their scope and intensity. </w:t>
      </w:r>
      <w:r w:rsidR="001B48C9">
        <w:t>As</w:t>
      </w:r>
      <w:r>
        <w:t xml:space="preserve"> part of the determination to </w:t>
      </w:r>
      <w:r w:rsidR="004954E5">
        <w:t>invoke</w:t>
      </w:r>
      <w:r>
        <w:t xml:space="preserve"> the Emergency Policies, the </w:t>
      </w:r>
      <w:r w:rsidR="00D818C9">
        <w:t>A</w:t>
      </w:r>
      <w:r>
        <w:t xml:space="preserve">uthorized </w:t>
      </w:r>
      <w:r w:rsidR="00D818C9">
        <w:t>O</w:t>
      </w:r>
      <w:r>
        <w:t xml:space="preserve">fficial </w:t>
      </w:r>
      <w:r w:rsidR="001B48C9">
        <w:t xml:space="preserve">will determine </w:t>
      </w:r>
      <w:r>
        <w:t xml:space="preserve">which of the Emergency Policies to implement. </w:t>
      </w:r>
    </w:p>
    <w:p w14:paraId="181D634D" w14:textId="77777777" w:rsidR="002E0A37" w:rsidRDefault="002E0A37" w:rsidP="002D5DC5">
      <w:pPr>
        <w:jc w:val="both"/>
      </w:pPr>
      <w:r>
        <w:t>In order to most effectively serve clients and to protect the health and well</w:t>
      </w:r>
      <w:r w:rsidR="008F2B61">
        <w:t>-</w:t>
      </w:r>
      <w:r>
        <w:t xml:space="preserve">being of staff, the </w:t>
      </w:r>
      <w:r w:rsidR="00325CD9">
        <w:t>A</w:t>
      </w:r>
      <w:r>
        <w:t xml:space="preserve">uthorized </w:t>
      </w:r>
      <w:r w:rsidR="00325CD9">
        <w:t>O</w:t>
      </w:r>
      <w:r>
        <w:t xml:space="preserve">fficial may choose to implement </w:t>
      </w:r>
      <w:r w:rsidR="001B48C9">
        <w:t>some,</w:t>
      </w:r>
      <w:r>
        <w:t xml:space="preserve"> or </w:t>
      </w:r>
      <w:r w:rsidR="003E3594">
        <w:t>all</w:t>
      </w:r>
      <w:r>
        <w:t xml:space="preserve"> the policies identified below</w:t>
      </w:r>
      <w:r w:rsidR="00C21C0D">
        <w:t xml:space="preserve">. </w:t>
      </w:r>
      <w:r>
        <w:t>As part of the implementation of the Emergency Policies, the authorized official will specify which of the policies are in effect.</w:t>
      </w:r>
    </w:p>
    <w:p w14:paraId="3A773952" w14:textId="77777777" w:rsidR="00404E3F" w:rsidRPr="00DE1145" w:rsidRDefault="00404E3F" w:rsidP="002D5DC5">
      <w:pPr>
        <w:jc w:val="both"/>
        <w:rPr>
          <w:color w:val="2F5496" w:themeColor="accent1" w:themeShade="BF"/>
          <w:sz w:val="28"/>
          <w:szCs w:val="28"/>
        </w:rPr>
      </w:pPr>
      <w:r w:rsidRPr="00DE1145">
        <w:rPr>
          <w:color w:val="2F5496" w:themeColor="accent1" w:themeShade="BF"/>
          <w:sz w:val="28"/>
          <w:szCs w:val="28"/>
        </w:rPr>
        <w:t>Emergency Policy – Conduct of Required Activities</w:t>
      </w:r>
    </w:p>
    <w:p w14:paraId="0ADEC90C" w14:textId="77777777" w:rsidR="00404E3F" w:rsidRPr="00404E3F" w:rsidRDefault="00404E3F" w:rsidP="002D5DC5">
      <w:pPr>
        <w:jc w:val="both"/>
      </w:pPr>
      <w:r w:rsidRPr="00404E3F">
        <w:t xml:space="preserve">The existence of a public health emergency or a disaster may temporarily prevent </w:t>
      </w:r>
      <w:r w:rsidR="002330F1">
        <w:t xml:space="preserve">the agency </w:t>
      </w:r>
      <w:r w:rsidR="002330F1" w:rsidRPr="00404E3F">
        <w:t>from</w:t>
      </w:r>
      <w:r w:rsidRPr="00404E3F">
        <w:t xml:space="preserve"> performing activities that are specified requirements of funders and that are incorporated within the agency’s standard policies and procedures</w:t>
      </w:r>
      <w:r w:rsidR="00E46265">
        <w:t xml:space="preserve"> and grant agreements</w:t>
      </w:r>
      <w:r w:rsidRPr="00404E3F">
        <w:t xml:space="preserve">. This includes without limitation activities that involve direct contact with persons, physical inspections, or obtaining third party information from sources that may be inaccessible as a result of the emergency or disaster. </w:t>
      </w:r>
    </w:p>
    <w:p w14:paraId="1FD38510" w14:textId="77777777" w:rsidR="00404E3F" w:rsidRPr="00404E3F" w:rsidRDefault="00404E3F" w:rsidP="002D5DC5">
      <w:pPr>
        <w:jc w:val="both"/>
      </w:pPr>
      <w:r w:rsidRPr="00404E3F">
        <w:t xml:space="preserve">In the event of emergencies or disasters, government funding agencies frequently waive requirements for limited periods of time to accommodate the specific circumstances of the emergency/disaster. When a governmental funding agency issues emergency/disaster related waivers to standard procedures, the Authorized Official shall review those revised directives and determine based on the health and </w:t>
      </w:r>
      <w:r w:rsidR="006F3284" w:rsidRPr="00404E3F">
        <w:t>well-being</w:t>
      </w:r>
      <w:r w:rsidRPr="00404E3F">
        <w:t xml:space="preserve"> of agency staff and clients whether to implement the waivers. If so, the Authorized Official will issue temporary policies and procedures to implement the waivers</w:t>
      </w:r>
      <w:r w:rsidR="006F060E">
        <w:t xml:space="preserve"> (See Appendix for sample temporary policies and procedures to implement CoC/ESG Program waivers in response to COIVD-19 health emergency).</w:t>
      </w:r>
    </w:p>
    <w:p w14:paraId="10A47707" w14:textId="77777777" w:rsidR="00404E3F" w:rsidRDefault="00404E3F" w:rsidP="002D5DC5">
      <w:pPr>
        <w:jc w:val="both"/>
      </w:pPr>
      <w:r w:rsidRPr="00404E3F">
        <w:t>This policy is limited to those circumstances when a governmental funding agency waives procedures incorporated within this agenc</w:t>
      </w:r>
      <w:r w:rsidR="00940CB3">
        <w:t>y’</w:t>
      </w:r>
      <w:r w:rsidRPr="00404E3F">
        <w:t xml:space="preserve">s standard </w:t>
      </w:r>
      <w:r w:rsidR="00940CB3" w:rsidRPr="00404E3F">
        <w:t>policies</w:t>
      </w:r>
      <w:r w:rsidRPr="00404E3F">
        <w:t xml:space="preserve"> and procedures. The policy will only remain in effect for the duration of the waivers issued. All requirements by the governmental funders with respect to documenting the use of emergency waivers shall be followed.</w:t>
      </w:r>
      <w:r w:rsidR="00376FEE">
        <w:t xml:space="preserve"> Once the waivers issued by the </w:t>
      </w:r>
      <w:r w:rsidR="00376FEE">
        <w:lastRenderedPageBreak/>
        <w:t xml:space="preserve">funding/regulatory agencies have </w:t>
      </w:r>
      <w:r w:rsidR="009E1E01">
        <w:t xml:space="preserve">expired, the Authorized Official shall ensure that </w:t>
      </w:r>
      <w:r w:rsidR="00652924">
        <w:t>standard procedures resume.</w:t>
      </w:r>
    </w:p>
    <w:p w14:paraId="10771493" w14:textId="77777777" w:rsidR="00FA3B77" w:rsidRPr="00DE1145" w:rsidRDefault="00C74AB2" w:rsidP="002D5DC5">
      <w:pPr>
        <w:jc w:val="both"/>
        <w:rPr>
          <w:color w:val="2F5496" w:themeColor="accent1" w:themeShade="BF"/>
          <w:sz w:val="28"/>
          <w:szCs w:val="28"/>
        </w:rPr>
      </w:pPr>
      <w:r w:rsidRPr="00DE1145">
        <w:rPr>
          <w:color w:val="2F5496" w:themeColor="accent1" w:themeShade="BF"/>
          <w:sz w:val="28"/>
          <w:szCs w:val="28"/>
        </w:rPr>
        <w:t>Emergency Policy – Record Keeping</w:t>
      </w:r>
    </w:p>
    <w:p w14:paraId="435CF463" w14:textId="77777777" w:rsidR="00C74AB2" w:rsidRDefault="004607A4" w:rsidP="002D5DC5">
      <w:pPr>
        <w:jc w:val="both"/>
      </w:pPr>
      <w:r>
        <w:t xml:space="preserve">Emergency </w:t>
      </w:r>
      <w:r w:rsidR="00C129EE">
        <w:t xml:space="preserve">or disaster situations may preclude the agency from maintaining records and documentation as specified in standard policies and procedures and grant agreements </w:t>
      </w:r>
      <w:r w:rsidR="00986A0E">
        <w:t>that the agency has entered into</w:t>
      </w:r>
      <w:r w:rsidR="00B607EE">
        <w:t xml:space="preserve">. </w:t>
      </w:r>
      <w:r w:rsidR="00986A0E">
        <w:t>When in the context of an emergency or disaster</w:t>
      </w:r>
      <w:r w:rsidR="0099645C">
        <w:t xml:space="preserve"> a governmental agency has relaxed or waived documentation or record keeping requirements, the Authorized Official will determine whether the agency is able to </w:t>
      </w:r>
      <w:r w:rsidR="00FD175F">
        <w:t xml:space="preserve">maintain its standard record keeping policies. </w:t>
      </w:r>
      <w:r w:rsidR="00341A5E">
        <w:t>If the Authorized Official determines that standard record keeping cannot be maintain</w:t>
      </w:r>
      <w:r w:rsidR="009C571E">
        <w:t>ed</w:t>
      </w:r>
      <w:r w:rsidR="00341A5E">
        <w:t xml:space="preserve">, </w:t>
      </w:r>
      <w:r w:rsidR="00ED4B2E">
        <w:t>allowable waivers may be implemented.</w:t>
      </w:r>
    </w:p>
    <w:p w14:paraId="60186184" w14:textId="77777777" w:rsidR="00390C59" w:rsidRDefault="00390C59" w:rsidP="002D5DC5">
      <w:pPr>
        <w:jc w:val="both"/>
      </w:pPr>
      <w:r>
        <w:t xml:space="preserve">The Authorized Official will ensure that records </w:t>
      </w:r>
      <w:r w:rsidR="00E90551">
        <w:t xml:space="preserve">filed under Emergency Policies are reviewed once the emergency has lifted to see if it is necessary or possible to </w:t>
      </w:r>
      <w:r w:rsidR="005F67BB">
        <w:t xml:space="preserve">generate the records or documentation at that time. </w:t>
      </w:r>
      <w:r w:rsidR="00322EA1">
        <w:t>When possible and appropriate records shall be updated post-emergency.</w:t>
      </w:r>
    </w:p>
    <w:p w14:paraId="2261DFD8" w14:textId="77777777" w:rsidR="00404E3F" w:rsidRPr="00DE1145" w:rsidRDefault="00404E3F" w:rsidP="002D5DC5">
      <w:pPr>
        <w:jc w:val="both"/>
        <w:rPr>
          <w:color w:val="2F5496" w:themeColor="accent1" w:themeShade="BF"/>
          <w:sz w:val="28"/>
          <w:szCs w:val="28"/>
        </w:rPr>
      </w:pPr>
      <w:r w:rsidRPr="00DE1145">
        <w:rPr>
          <w:color w:val="2F5496" w:themeColor="accent1" w:themeShade="BF"/>
          <w:sz w:val="28"/>
          <w:szCs w:val="28"/>
        </w:rPr>
        <w:t>Emergency Policy – Procurement</w:t>
      </w:r>
    </w:p>
    <w:p w14:paraId="1FD5219C" w14:textId="77777777" w:rsidR="00404E3F" w:rsidRPr="00404E3F" w:rsidRDefault="00404E3F" w:rsidP="002D5DC5">
      <w:pPr>
        <w:jc w:val="both"/>
      </w:pPr>
      <w:r w:rsidRPr="00404E3F">
        <w:t xml:space="preserve">In the context of a declared emergency, it may be necessary to make urgent acquisitions of goods and services vital to the health and </w:t>
      </w:r>
      <w:r w:rsidR="00080BC5" w:rsidRPr="00404E3F">
        <w:t>well-being</w:t>
      </w:r>
      <w:r w:rsidRPr="00404E3F">
        <w:t xml:space="preserve"> of staff and clients. Priority must be granted to meeting essential requirements for health and safety and standard procurement policies may be suspended</w:t>
      </w:r>
      <w:r w:rsidR="0001435D">
        <w:t xml:space="preserve"> i</w:t>
      </w:r>
      <w:r w:rsidR="00682E15">
        <w:t>n order to secure goods and services in a timely manner</w:t>
      </w:r>
      <w:r w:rsidR="0001435D">
        <w:t xml:space="preserve">. </w:t>
      </w:r>
    </w:p>
    <w:p w14:paraId="4E7723BB" w14:textId="77777777" w:rsidR="00286621" w:rsidRDefault="00404E3F" w:rsidP="002D5DC5">
      <w:pPr>
        <w:jc w:val="both"/>
      </w:pPr>
      <w:r w:rsidRPr="00404E3F">
        <w:t>Upon the determination of the Authorized Official that it is necessary to suspend standard procurement policies, the agency may take such steps as necessary to acquire vital supplies</w:t>
      </w:r>
      <w:r w:rsidR="00396FFD">
        <w:t xml:space="preserve"> and support</w:t>
      </w:r>
      <w:r w:rsidRPr="00404E3F">
        <w:t xml:space="preserve">. </w:t>
      </w:r>
      <w:r w:rsidR="00D043E3">
        <w:t xml:space="preserve">Depending on the urgency and immediacy of need, </w:t>
      </w:r>
      <w:r w:rsidR="00134768">
        <w:t xml:space="preserve">all procurement requirements may be waived. </w:t>
      </w:r>
    </w:p>
    <w:p w14:paraId="4BA29067" w14:textId="77777777" w:rsidR="00404E3F" w:rsidRDefault="00404E3F" w:rsidP="002D5DC5">
      <w:pPr>
        <w:jc w:val="both"/>
      </w:pPr>
      <w:r w:rsidRPr="00404E3F">
        <w:t>Public funds should be employed in as responsible and transparent method as possible</w:t>
      </w:r>
      <w:r w:rsidR="00B315E1">
        <w:t xml:space="preserve">. Emergency procurement should only be used as essential for life and safety </w:t>
      </w:r>
      <w:r w:rsidRPr="00404E3F">
        <w:t>and deviations from standard procurement should be documented and publicly disclosed</w:t>
      </w:r>
      <w:r w:rsidR="005B7E98" w:rsidRPr="00404E3F">
        <w:t xml:space="preserve">. </w:t>
      </w:r>
      <w:r w:rsidRPr="00404E3F">
        <w:t>This does not supersede the Agency’s Code of Conduct</w:t>
      </w:r>
      <w:r w:rsidR="009B37C6">
        <w:t xml:space="preserve"> or the Agency’s Conflict of Interest Policies.</w:t>
      </w:r>
    </w:p>
    <w:p w14:paraId="368AA698" w14:textId="77777777" w:rsidR="009B37C6" w:rsidRPr="00404E3F" w:rsidRDefault="009B37C6" w:rsidP="002D5DC5">
      <w:pPr>
        <w:jc w:val="both"/>
      </w:pPr>
      <w:r>
        <w:t>In the event that the Agency must employ emergency single source procurements, documentation shall be maintained on file regarding the specific emergency circumstances that necessitated this</w:t>
      </w:r>
      <w:r w:rsidR="004547A4">
        <w:t xml:space="preserve"> and provide a cost </w:t>
      </w:r>
      <w:r w:rsidR="004547A4" w:rsidRPr="004547A4">
        <w:t>analysis (i.e., proposed cost data, cost projections, evaluation of specific elements of cost and profits</w:t>
      </w:r>
      <w:r w:rsidR="004547A4">
        <w:t>).</w:t>
      </w:r>
    </w:p>
    <w:p w14:paraId="0025F3A2" w14:textId="77777777" w:rsidR="002E0A37" w:rsidRPr="00DE1145" w:rsidRDefault="002E0A37" w:rsidP="002D5DC5">
      <w:pPr>
        <w:jc w:val="both"/>
        <w:rPr>
          <w:color w:val="2F5496" w:themeColor="accent1" w:themeShade="BF"/>
          <w:sz w:val="28"/>
          <w:szCs w:val="28"/>
        </w:rPr>
      </w:pPr>
      <w:r w:rsidRPr="00DE1145">
        <w:rPr>
          <w:color w:val="2F5496" w:themeColor="accent1" w:themeShade="BF"/>
          <w:sz w:val="28"/>
          <w:szCs w:val="28"/>
        </w:rPr>
        <w:t>Emer</w:t>
      </w:r>
      <w:r w:rsidR="00404E3F" w:rsidRPr="00DE1145">
        <w:rPr>
          <w:color w:val="2F5496" w:themeColor="accent1" w:themeShade="BF"/>
          <w:sz w:val="28"/>
          <w:szCs w:val="28"/>
        </w:rPr>
        <w:t>g</w:t>
      </w:r>
      <w:r w:rsidRPr="00DE1145">
        <w:rPr>
          <w:color w:val="2F5496" w:themeColor="accent1" w:themeShade="BF"/>
          <w:sz w:val="28"/>
          <w:szCs w:val="28"/>
        </w:rPr>
        <w:t>ency Policy – Alternative Workplace</w:t>
      </w:r>
    </w:p>
    <w:p w14:paraId="4B003C3B" w14:textId="77777777" w:rsidR="002E0A37" w:rsidRDefault="002E0A37" w:rsidP="002D5DC5">
      <w:pPr>
        <w:jc w:val="both"/>
      </w:pPr>
      <w:r>
        <w:t>The authorized official shall determine whether continuing to work at the regular work/duty location poses a risk to the health and well</w:t>
      </w:r>
      <w:r w:rsidR="008F2B61">
        <w:t>-</w:t>
      </w:r>
      <w:r>
        <w:t xml:space="preserve">being of agency staff, </w:t>
      </w:r>
      <w:r w:rsidR="004F66A1">
        <w:t>clients,</w:t>
      </w:r>
      <w:r>
        <w:t xml:space="preserve"> or stakeholders. If a risk is determined, the authorized official may implement alternative workplace policies.</w:t>
      </w:r>
    </w:p>
    <w:p w14:paraId="63138DFB" w14:textId="77777777" w:rsidR="002E0A37" w:rsidRDefault="002E0A37" w:rsidP="002D5DC5">
      <w:pPr>
        <w:jc w:val="both"/>
      </w:pPr>
      <w:r>
        <w:t>When alternative workplace policies have been implemented:</w:t>
      </w:r>
    </w:p>
    <w:p w14:paraId="003AC9A7" w14:textId="77777777" w:rsidR="002E0A37" w:rsidRDefault="002E0A37" w:rsidP="002D5DC5">
      <w:pPr>
        <w:pStyle w:val="ListParagraph"/>
        <w:numPr>
          <w:ilvl w:val="0"/>
          <w:numId w:val="1"/>
        </w:numPr>
        <w:jc w:val="both"/>
      </w:pPr>
      <w:r>
        <w:t>Agency staff may perform their job functions at alternative locations (their home or other designated workspace).</w:t>
      </w:r>
    </w:p>
    <w:p w14:paraId="6A56BB9F" w14:textId="77777777" w:rsidR="002E0A37" w:rsidRDefault="002E0A37" w:rsidP="002D5DC5">
      <w:pPr>
        <w:pStyle w:val="ListParagraph"/>
        <w:numPr>
          <w:ilvl w:val="0"/>
          <w:numId w:val="1"/>
        </w:numPr>
        <w:jc w:val="both"/>
      </w:pPr>
      <w:r>
        <w:t>Agency staff are expected to work their normal duty hours and must track and report to their supervisors their hours of work and activities.</w:t>
      </w:r>
    </w:p>
    <w:p w14:paraId="1C68A632" w14:textId="77777777" w:rsidR="002E0A37" w:rsidRDefault="002E0A37" w:rsidP="002D5DC5">
      <w:pPr>
        <w:pStyle w:val="ListParagraph"/>
        <w:numPr>
          <w:ilvl w:val="0"/>
          <w:numId w:val="1"/>
        </w:numPr>
        <w:jc w:val="both"/>
      </w:pPr>
      <w:r>
        <w:lastRenderedPageBreak/>
        <w:t xml:space="preserve">To ensure privacy, staff should use assigned agency cell phones or computers to communicate with agency clients. </w:t>
      </w:r>
      <w:r w:rsidR="009B37C6" w:rsidRPr="009B37C6">
        <w:t xml:space="preserve"> When this is not feasible, the Authorized Official will ensure that staff are required to and have been provided with instructions regarding how to safeguard any personal equipment used for this purpose.</w:t>
      </w:r>
    </w:p>
    <w:p w14:paraId="75BC8F72" w14:textId="77777777" w:rsidR="00651E23" w:rsidRDefault="00651E23" w:rsidP="002D5DC5">
      <w:pPr>
        <w:pStyle w:val="ListParagraph"/>
        <w:numPr>
          <w:ilvl w:val="0"/>
          <w:numId w:val="1"/>
        </w:numPr>
        <w:jc w:val="both"/>
      </w:pPr>
      <w:r>
        <w:t>Staff working from alternative locations must continue to protect client privacy and confidentiality.</w:t>
      </w:r>
    </w:p>
    <w:p w14:paraId="5DD80CF6" w14:textId="77777777" w:rsidR="00651E23" w:rsidRDefault="00651E23" w:rsidP="002D5DC5">
      <w:pPr>
        <w:pStyle w:val="ListParagraph"/>
        <w:numPr>
          <w:ilvl w:val="0"/>
          <w:numId w:val="1"/>
        </w:numPr>
        <w:jc w:val="both"/>
      </w:pPr>
      <w:r>
        <w:t xml:space="preserve">The agency is not responsible for additional costs incurred by staff as a result of implementing Alternative Workplace policies. As soon as the </w:t>
      </w:r>
      <w:r w:rsidR="00396CC6">
        <w:t>A</w:t>
      </w:r>
      <w:r>
        <w:t xml:space="preserve">uthorized </w:t>
      </w:r>
      <w:r w:rsidR="00396CC6">
        <w:t>O</w:t>
      </w:r>
      <w:r>
        <w:t>fficial has determined that the health emergency or disaster no longer requires alternative workplaces, agency staff will return to their normal duty locations.</w:t>
      </w:r>
    </w:p>
    <w:p w14:paraId="44761FA5" w14:textId="77777777" w:rsidR="00C90938" w:rsidRPr="00DE1145" w:rsidRDefault="00C90938" w:rsidP="002D5DC5">
      <w:pPr>
        <w:jc w:val="both"/>
        <w:rPr>
          <w:color w:val="2F5496" w:themeColor="accent1" w:themeShade="BF"/>
          <w:sz w:val="28"/>
          <w:szCs w:val="28"/>
        </w:rPr>
      </w:pPr>
      <w:r w:rsidRPr="00DE1145">
        <w:rPr>
          <w:color w:val="2F5496" w:themeColor="accent1" w:themeShade="BF"/>
          <w:sz w:val="28"/>
          <w:szCs w:val="28"/>
        </w:rPr>
        <w:t>Emergency Policy – Hazardous Duty Pay</w:t>
      </w:r>
    </w:p>
    <w:p w14:paraId="02A8D476" w14:textId="77777777" w:rsidR="000D4412" w:rsidRDefault="00C90938" w:rsidP="002D5DC5">
      <w:pPr>
        <w:jc w:val="both"/>
      </w:pPr>
      <w:r>
        <w:t xml:space="preserve">The </w:t>
      </w:r>
      <w:r w:rsidR="00396CC6">
        <w:t>A</w:t>
      </w:r>
      <w:r>
        <w:t xml:space="preserve">uthorized </w:t>
      </w:r>
      <w:r w:rsidR="00396CC6">
        <w:t>O</w:t>
      </w:r>
      <w:r>
        <w:t xml:space="preserve">fficial may determine that the disaster or public health emergency requires that staff be provided with hazardous duty pay. </w:t>
      </w:r>
      <w:r w:rsidR="00396CC6">
        <w:t>The Authorized Offic</w:t>
      </w:r>
      <w:r w:rsidR="00A24D15">
        <w:t>ial</w:t>
      </w:r>
      <w:r w:rsidR="00396CC6">
        <w:t xml:space="preserve"> may decide </w:t>
      </w:r>
      <w:r w:rsidR="00A94E72">
        <w:t xml:space="preserve">to grant hazardous duty pay to specified staff performing </w:t>
      </w:r>
      <w:r w:rsidR="007A683B">
        <w:t>identified</w:t>
      </w:r>
      <w:r w:rsidR="00A94E72">
        <w:t xml:space="preserve"> hazardous duty and/or </w:t>
      </w:r>
      <w:r w:rsidR="002469EC">
        <w:t xml:space="preserve">agency-wide compensation to </w:t>
      </w:r>
      <w:r w:rsidR="000D4412">
        <w:t>offset harm brought on by the Emergency or Disaster.</w:t>
      </w:r>
    </w:p>
    <w:p w14:paraId="21EB6C57" w14:textId="77777777" w:rsidR="00C90938" w:rsidRDefault="00C90938" w:rsidP="002D5DC5">
      <w:pPr>
        <w:jc w:val="both"/>
      </w:pPr>
      <w:r>
        <w:t>Hazardous duty pay compensate</w:t>
      </w:r>
      <w:r w:rsidR="00417A6E">
        <w:t>s</w:t>
      </w:r>
      <w:r>
        <w:t xml:space="preserve"> staff for additional risks and/or costs necessitated by having to work during a </w:t>
      </w:r>
      <w:r w:rsidR="000B15E4">
        <w:t>P</w:t>
      </w:r>
      <w:r>
        <w:t xml:space="preserve">ublic </w:t>
      </w:r>
      <w:r w:rsidR="000B15E4">
        <w:t>H</w:t>
      </w:r>
      <w:r>
        <w:t xml:space="preserve">ealth </w:t>
      </w:r>
      <w:r w:rsidR="000B15E4">
        <w:t>E</w:t>
      </w:r>
      <w:r>
        <w:t xml:space="preserve">mergency or </w:t>
      </w:r>
      <w:r w:rsidR="000B15E4">
        <w:t>Natural D</w:t>
      </w:r>
      <w:r>
        <w:t xml:space="preserve">isaster. </w:t>
      </w:r>
      <w:r w:rsidR="00CF3C40">
        <w:t xml:space="preserve">It may consist </w:t>
      </w:r>
      <w:r w:rsidR="000D7B61">
        <w:t>of</w:t>
      </w:r>
      <w:r w:rsidR="000D7B61" w:rsidRPr="00CF3C40">
        <w:t xml:space="preserve"> an</w:t>
      </w:r>
      <w:r w:rsidR="00CF3C40" w:rsidRPr="00CF3C40">
        <w:t xml:space="preserve"> additional increment in hourly or weekly salary</w:t>
      </w:r>
      <w:r w:rsidR="00CF3C40">
        <w:t xml:space="preserve"> and/or lump sum payment(s) to all staff. </w:t>
      </w:r>
      <w:r>
        <w:t xml:space="preserve">Hazardous duty pay shall only be provided when a determination has been made that the agency has </w:t>
      </w:r>
      <w:r w:rsidR="000D7B61">
        <w:t>enough</w:t>
      </w:r>
      <w:r>
        <w:t xml:space="preserve"> resources to provide the benefit to all eligible employees. If the agency does not have sufficient resources for all staff, priority shall be given to staff at greatest risk, e.g., those working directly with clients and to staff with the lowest levels of compensation.</w:t>
      </w:r>
    </w:p>
    <w:p w14:paraId="5FA8054C" w14:textId="77777777" w:rsidR="00C90938" w:rsidRDefault="00DC0956" w:rsidP="002D5DC5">
      <w:pPr>
        <w:jc w:val="both"/>
      </w:pPr>
      <w:r>
        <w:t>Hazardous duty pay will remain in effect until the sooner of the following occurs:</w:t>
      </w:r>
    </w:p>
    <w:p w14:paraId="4BE00E39" w14:textId="77777777" w:rsidR="00DC0956" w:rsidRDefault="00DC0956" w:rsidP="002D5DC5">
      <w:pPr>
        <w:pStyle w:val="ListParagraph"/>
        <w:numPr>
          <w:ilvl w:val="0"/>
          <w:numId w:val="1"/>
        </w:numPr>
        <w:jc w:val="both"/>
      </w:pPr>
      <w:r>
        <w:t>The responsible public official has made the determination that the health emergency or disaster conditions are no longer in effect and has declared an end to the emergency.</w:t>
      </w:r>
    </w:p>
    <w:p w14:paraId="6D8E83D6" w14:textId="77777777" w:rsidR="00DC0956" w:rsidRDefault="00DC0956" w:rsidP="002D5DC5">
      <w:pPr>
        <w:pStyle w:val="ListParagraph"/>
        <w:numPr>
          <w:ilvl w:val="0"/>
          <w:numId w:val="1"/>
        </w:numPr>
        <w:jc w:val="both"/>
      </w:pPr>
      <w:r>
        <w:t xml:space="preserve">The </w:t>
      </w:r>
      <w:r w:rsidR="003C553E">
        <w:t>A</w:t>
      </w:r>
      <w:r>
        <w:t xml:space="preserve">uthorized </w:t>
      </w:r>
      <w:r w:rsidR="003C553E">
        <w:t>O</w:t>
      </w:r>
      <w:r>
        <w:t>fficial has determined that the agency no longer has need to implement the hazardous duty pay as staff are no longer encountering situations that require the additional compensation or that the agency no longer has sufficient resources to continue the hazardous duty pay.</w:t>
      </w:r>
    </w:p>
    <w:p w14:paraId="0F648E80" w14:textId="77777777" w:rsidR="007902E2" w:rsidRPr="00DE1145" w:rsidRDefault="00BE236F" w:rsidP="002D5DC5">
      <w:pPr>
        <w:jc w:val="both"/>
        <w:rPr>
          <w:color w:val="2F5496" w:themeColor="accent1" w:themeShade="BF"/>
          <w:sz w:val="28"/>
          <w:szCs w:val="28"/>
        </w:rPr>
      </w:pPr>
      <w:r w:rsidRPr="00DE1145">
        <w:rPr>
          <w:color w:val="2F5496" w:themeColor="accent1" w:themeShade="BF"/>
          <w:sz w:val="28"/>
          <w:szCs w:val="28"/>
        </w:rPr>
        <w:t>Emergency Policy – Reducing Inequity in Care</w:t>
      </w:r>
    </w:p>
    <w:p w14:paraId="1FBB6B64" w14:textId="77777777" w:rsidR="00BE236F" w:rsidRDefault="00E7239F" w:rsidP="002D5DC5">
      <w:pPr>
        <w:jc w:val="both"/>
      </w:pPr>
      <w:r>
        <w:t xml:space="preserve">Emergencies and disasters have a disproportionately negative impact on marginalized communities including communities of color, </w:t>
      </w:r>
      <w:r w:rsidR="006F519D">
        <w:t xml:space="preserve">people who are homeless, and those with extremely low incomes. In implementing Emergency Policies, the Authorized Official </w:t>
      </w:r>
      <w:r w:rsidR="00CD0261">
        <w:t xml:space="preserve">shall take affirmative steps to ensure that underserved and marginalized groups </w:t>
      </w:r>
      <w:r w:rsidR="00917D71">
        <w:t xml:space="preserve">are prioritized for emergency assistance. </w:t>
      </w:r>
      <w:r w:rsidR="0068476B">
        <w:t>The Authorized Official shall ensure that the agency provide</w:t>
      </w:r>
      <w:r w:rsidR="00BE41C1">
        <w:t>s</w:t>
      </w:r>
      <w:r w:rsidR="0068476B">
        <w:t xml:space="preserve"> monthly </w:t>
      </w:r>
      <w:r w:rsidR="00C45217">
        <w:t>reports</w:t>
      </w:r>
      <w:r w:rsidR="00206831">
        <w:t>,</w:t>
      </w:r>
      <w:r w:rsidR="00C45217">
        <w:t xml:space="preserve"> </w:t>
      </w:r>
      <w:r w:rsidR="00ED1AE6" w:rsidRPr="00ED1AE6">
        <w:t>aggregated to protect confidentiality</w:t>
      </w:r>
      <w:r w:rsidR="00206831">
        <w:t>,</w:t>
      </w:r>
      <w:r w:rsidR="00ED1AE6" w:rsidRPr="00ED1AE6">
        <w:t xml:space="preserve"> </w:t>
      </w:r>
      <w:r w:rsidR="00C45217">
        <w:t>using</w:t>
      </w:r>
      <w:r w:rsidR="0068476B">
        <w:t xml:space="preserve"> data from HMIS</w:t>
      </w:r>
      <w:r w:rsidR="00ED1AE6">
        <w:t xml:space="preserve">. These reports will document the beneficiaries of </w:t>
      </w:r>
      <w:r w:rsidR="003715E6">
        <w:t xml:space="preserve">assistance </w:t>
      </w:r>
      <w:r w:rsidR="006D2F06">
        <w:t>in standard demographic catego</w:t>
      </w:r>
      <w:r w:rsidR="00E40899">
        <w:t>ries, where applicable</w:t>
      </w:r>
      <w:r w:rsidR="00875477">
        <w:t>,</w:t>
      </w:r>
      <w:r w:rsidR="00E40899">
        <w:t xml:space="preserve"> will identify those households whose applications for emergency assistance were </w:t>
      </w:r>
      <w:r w:rsidR="00623248">
        <w:t>denied and</w:t>
      </w:r>
      <w:r w:rsidR="00992A09">
        <w:t xml:space="preserve"> will compare the populations served pre-emergency/disaster with those served post-disaster. </w:t>
      </w:r>
      <w:r w:rsidR="00623248">
        <w:t>This information will be publicly available</w:t>
      </w:r>
      <w:r w:rsidR="0004524F">
        <w:t xml:space="preserve">. </w:t>
      </w:r>
    </w:p>
    <w:p w14:paraId="74139937" w14:textId="77777777" w:rsidR="00FC63FC" w:rsidRDefault="00FC63FC" w:rsidP="002D5DC5">
      <w:pPr>
        <w:jc w:val="both"/>
      </w:pPr>
      <w:r>
        <w:lastRenderedPageBreak/>
        <w:t xml:space="preserve">Whenever Emergency Policies are invoked, the Authorized Official shall report to the Governing Board </w:t>
      </w:r>
      <w:r w:rsidR="00D0350C">
        <w:t xml:space="preserve">on the impact of the </w:t>
      </w:r>
      <w:r w:rsidR="00A9592F">
        <w:t xml:space="preserve">Emergency </w:t>
      </w:r>
      <w:r w:rsidR="00D0350C">
        <w:t xml:space="preserve">Policies on reducing inequities </w:t>
      </w:r>
      <w:r w:rsidR="00A9592F">
        <w:t>in the delivery of care and services</w:t>
      </w:r>
      <w:r w:rsidR="0026180D">
        <w:t xml:space="preserve"> to those with the greatest need and histories of being underserved.</w:t>
      </w:r>
    </w:p>
    <w:p w14:paraId="5B8B417E" w14:textId="5A4AAC45" w:rsidR="006F060E" w:rsidRPr="00DE1145" w:rsidRDefault="006F060E" w:rsidP="002D5DC5">
      <w:pPr>
        <w:jc w:val="both"/>
        <w:rPr>
          <w:sz w:val="40"/>
          <w:szCs w:val="40"/>
        </w:rPr>
      </w:pPr>
      <w:r>
        <w:br w:type="page"/>
      </w:r>
      <w:r w:rsidRPr="00DE1145">
        <w:rPr>
          <w:color w:val="2F5496" w:themeColor="accent1" w:themeShade="BF"/>
          <w:sz w:val="40"/>
          <w:szCs w:val="40"/>
        </w:rPr>
        <w:lastRenderedPageBreak/>
        <w:t>APPENDIX</w:t>
      </w:r>
      <w:r w:rsidR="009040D6" w:rsidRPr="00DE1145">
        <w:rPr>
          <w:color w:val="2F5496" w:themeColor="accent1" w:themeShade="BF"/>
          <w:sz w:val="40"/>
          <w:szCs w:val="40"/>
        </w:rPr>
        <w:t xml:space="preserve"> 1</w:t>
      </w:r>
    </w:p>
    <w:p w14:paraId="085C61AF" w14:textId="77777777" w:rsidR="006F060E" w:rsidRPr="00EC479E" w:rsidRDefault="006F060E" w:rsidP="002D5DC5">
      <w:pPr>
        <w:jc w:val="both"/>
      </w:pPr>
    </w:p>
    <w:p w14:paraId="5B1C210F" w14:textId="28359263" w:rsidR="006F060E" w:rsidRPr="00DE1145" w:rsidRDefault="006C2A47" w:rsidP="002D5DC5">
      <w:pPr>
        <w:pStyle w:val="Heading1"/>
        <w:jc w:val="both"/>
        <w:rPr>
          <w:sz w:val="40"/>
          <w:szCs w:val="40"/>
        </w:rPr>
      </w:pPr>
      <w:bookmarkStart w:id="4" w:name="_Toc52973328"/>
      <w:r w:rsidRPr="00DE1145">
        <w:rPr>
          <w:sz w:val="40"/>
          <w:szCs w:val="40"/>
        </w:rPr>
        <w:t>SAMPLE</w:t>
      </w:r>
      <w:r w:rsidR="00EB6F57" w:rsidRPr="00DE1145">
        <w:rPr>
          <w:sz w:val="40"/>
          <w:szCs w:val="40"/>
        </w:rPr>
        <w:t xml:space="preserve"> </w:t>
      </w:r>
      <w:r w:rsidR="006F060E" w:rsidRPr="00DE1145">
        <w:rPr>
          <w:sz w:val="40"/>
          <w:szCs w:val="40"/>
        </w:rPr>
        <w:t>Implementation of Emergency Procedures for Continuum of Care and Emergency Solutions Grant Programs in Response to COVID-19 Health Emergency</w:t>
      </w:r>
      <w:bookmarkEnd w:id="4"/>
    </w:p>
    <w:p w14:paraId="612D15E9" w14:textId="77777777" w:rsidR="006F060E" w:rsidRDefault="006F060E" w:rsidP="002D5DC5">
      <w:pPr>
        <w:pStyle w:val="Heading1"/>
        <w:jc w:val="both"/>
      </w:pPr>
      <w:bookmarkStart w:id="5" w:name="_Toc41479133"/>
      <w:bookmarkStart w:id="6" w:name="_Toc41483700"/>
      <w:bookmarkStart w:id="7" w:name="_Toc52973329"/>
      <w:r>
        <w:t>Implementation of Waivers for HUD Continuum of Care and Emergency Solutions Grant Funded Projects</w:t>
      </w:r>
      <w:bookmarkEnd w:id="5"/>
      <w:bookmarkEnd w:id="6"/>
      <w:bookmarkEnd w:id="7"/>
    </w:p>
    <w:p w14:paraId="01FF4980" w14:textId="1B1AE8E5" w:rsidR="003E6482" w:rsidRDefault="006F060E" w:rsidP="002D5DC5">
      <w:pPr>
        <w:jc w:val="both"/>
        <w:rPr>
          <w:sz w:val="24"/>
          <w:szCs w:val="24"/>
        </w:rPr>
      </w:pPr>
      <w:r w:rsidRPr="00E15DB1">
        <w:rPr>
          <w:sz w:val="24"/>
          <w:szCs w:val="24"/>
        </w:rPr>
        <w:t xml:space="preserve">On March 31, 2020 </w:t>
      </w:r>
      <w:r w:rsidR="003E6482" w:rsidRPr="00E15DB1">
        <w:rPr>
          <w:sz w:val="24"/>
          <w:szCs w:val="24"/>
        </w:rPr>
        <w:t xml:space="preserve">and May 22, 2020 </w:t>
      </w:r>
      <w:r w:rsidRPr="00E15DB1">
        <w:rPr>
          <w:sz w:val="24"/>
          <w:szCs w:val="24"/>
        </w:rPr>
        <w:t xml:space="preserve">HUD published </w:t>
      </w:r>
      <w:r w:rsidR="003E6482" w:rsidRPr="00E15DB1">
        <w:rPr>
          <w:sz w:val="24"/>
          <w:szCs w:val="24"/>
        </w:rPr>
        <w:t>Memoranda</w:t>
      </w:r>
      <w:r w:rsidRPr="00E15DB1">
        <w:rPr>
          <w:sz w:val="24"/>
          <w:szCs w:val="24"/>
        </w:rPr>
        <w:t xml:space="preserve"> from the Acting Assistant Secretary for Community Planning and Development (CPD) outlining a series of waivers from program requirements that HUD has implemented in response to the COVID-19 Health Emergency. This agency has notified the relevant HUD Field Office that it will be implementing these waivers on </w:t>
      </w:r>
      <w:r w:rsidR="008A2389" w:rsidRPr="00E15DB1">
        <w:rPr>
          <w:sz w:val="24"/>
          <w:szCs w:val="24"/>
          <w:highlight w:val="yellow"/>
        </w:rPr>
        <w:t>(</w:t>
      </w:r>
      <w:r w:rsidR="008A2389" w:rsidRPr="00E15DB1">
        <w:rPr>
          <w:sz w:val="24"/>
          <w:szCs w:val="24"/>
          <w:highlight w:val="yellow"/>
          <w:u w:val="single"/>
        </w:rPr>
        <w:t>INSERT DATE</w:t>
      </w:r>
      <w:r w:rsidR="003E6482" w:rsidRPr="00E15DB1">
        <w:rPr>
          <w:sz w:val="24"/>
          <w:szCs w:val="24"/>
          <w:highlight w:val="yellow"/>
          <w:u w:val="single"/>
        </w:rPr>
        <w:t>S</w:t>
      </w:r>
      <w:r w:rsidR="008A2389" w:rsidRPr="00E15DB1">
        <w:rPr>
          <w:sz w:val="24"/>
          <w:szCs w:val="24"/>
          <w:highlight w:val="yellow"/>
          <w:u w:val="single"/>
        </w:rPr>
        <w:t>)</w:t>
      </w:r>
      <w:r w:rsidRPr="00E15DB1">
        <w:rPr>
          <w:sz w:val="24"/>
          <w:szCs w:val="24"/>
          <w:highlight w:val="yellow"/>
        </w:rPr>
        <w:t>.</w:t>
      </w:r>
      <w:r w:rsidRPr="00E15DB1">
        <w:rPr>
          <w:sz w:val="24"/>
          <w:szCs w:val="24"/>
        </w:rPr>
        <w:t xml:space="preserve"> These procedures outline the process that will be followed in implementing the waivers and the necessary documentation. </w:t>
      </w:r>
    </w:p>
    <w:p w14:paraId="72655881" w14:textId="77777777" w:rsidR="00E15DB1" w:rsidRPr="00E15DB1" w:rsidRDefault="00E15DB1" w:rsidP="002D5DC5">
      <w:pPr>
        <w:jc w:val="both"/>
        <w:rPr>
          <w:sz w:val="24"/>
          <w:szCs w:val="24"/>
        </w:rPr>
      </w:pPr>
    </w:p>
    <w:p w14:paraId="6EC6D21D" w14:textId="604BB7C9" w:rsidR="003E6482" w:rsidRPr="00E15DB1" w:rsidRDefault="006F060E" w:rsidP="002D5DC5">
      <w:pPr>
        <w:pStyle w:val="Heading2"/>
        <w:jc w:val="both"/>
        <w:rPr>
          <w:rFonts w:asciiTheme="minorHAnsi" w:hAnsiTheme="minorHAnsi"/>
          <w:sz w:val="24"/>
          <w:szCs w:val="24"/>
        </w:rPr>
      </w:pPr>
      <w:bookmarkStart w:id="8" w:name="_Toc52973330"/>
      <w:r w:rsidRPr="00E15DB1">
        <w:rPr>
          <w:rFonts w:asciiTheme="minorHAnsi" w:hAnsiTheme="minorHAnsi"/>
          <w:sz w:val="24"/>
          <w:szCs w:val="24"/>
        </w:rPr>
        <w:t xml:space="preserve">1. </w:t>
      </w:r>
      <w:r w:rsidR="003E6482" w:rsidRPr="00E15DB1">
        <w:rPr>
          <w:rFonts w:asciiTheme="minorHAnsi" w:hAnsiTheme="minorHAnsi"/>
          <w:sz w:val="24"/>
          <w:szCs w:val="24"/>
        </w:rPr>
        <w:t xml:space="preserve">24-month rental assistance restriction is waived for CoC </w:t>
      </w:r>
      <w:r w:rsidR="004D2ADF" w:rsidRPr="004D2ADF">
        <w:rPr>
          <w:rFonts w:asciiTheme="minorHAnsi" w:hAnsiTheme="minorHAnsi"/>
          <w:color w:val="FF0000"/>
          <w:sz w:val="24"/>
          <w:szCs w:val="24"/>
        </w:rPr>
        <w:t xml:space="preserve">and ESG </w:t>
      </w:r>
      <w:r w:rsidR="003E6482" w:rsidRPr="00E15DB1">
        <w:rPr>
          <w:rFonts w:asciiTheme="minorHAnsi" w:hAnsiTheme="minorHAnsi"/>
          <w:sz w:val="24"/>
          <w:szCs w:val="24"/>
        </w:rPr>
        <w:t>Rapid Rehousing (RRH)</w:t>
      </w:r>
      <w:bookmarkEnd w:id="8"/>
    </w:p>
    <w:p w14:paraId="5F41C047" w14:textId="7E572763" w:rsidR="002D5DC5" w:rsidRPr="004D2ADF" w:rsidRDefault="00B73944" w:rsidP="002D5DC5">
      <w:pPr>
        <w:pStyle w:val="NormalWeb"/>
        <w:jc w:val="both"/>
        <w:rPr>
          <w:rFonts w:asciiTheme="minorHAnsi" w:hAnsiTheme="minorHAnsi"/>
          <w:color w:val="FF0000"/>
        </w:rPr>
      </w:pPr>
      <w:r w:rsidRPr="00E15DB1">
        <w:rPr>
          <w:rFonts w:asciiTheme="minorHAnsi" w:hAnsiTheme="minorHAnsi"/>
          <w:b/>
          <w:bCs/>
        </w:rPr>
        <w:t xml:space="preserve">Requirement: </w:t>
      </w:r>
      <w:r w:rsidR="002D5DC5" w:rsidRPr="00E15DB1">
        <w:rPr>
          <w:rFonts w:asciiTheme="minorHAnsi" w:hAnsiTheme="minorHAnsi"/>
        </w:rPr>
        <w:t xml:space="preserve">CoC Program funds may be used to provide short-term (up to 3 months) and/or medium-term (for 3 to 24 months) tenant-based rental assistance. </w:t>
      </w:r>
      <w:r w:rsidR="004D2ADF" w:rsidRPr="004D2ADF">
        <w:rPr>
          <w:rFonts w:asciiTheme="minorHAnsi" w:hAnsiTheme="minorHAnsi"/>
          <w:color w:val="FF0000"/>
        </w:rPr>
        <w:t>ESG rental assistance is limited to a maximum of 24 months within 3 years</w:t>
      </w:r>
      <w:r w:rsidR="004D2ADF">
        <w:rPr>
          <w:rFonts w:asciiTheme="minorHAnsi" w:hAnsiTheme="minorHAnsi"/>
          <w:color w:val="FF0000"/>
        </w:rPr>
        <w:t>.</w:t>
      </w:r>
    </w:p>
    <w:p w14:paraId="41E6C228" w14:textId="74B4EC9B" w:rsidR="00B73944" w:rsidRPr="00E15DB1" w:rsidRDefault="00B73944" w:rsidP="002D5DC5">
      <w:pPr>
        <w:pStyle w:val="NormalWeb"/>
        <w:jc w:val="both"/>
        <w:rPr>
          <w:rFonts w:asciiTheme="minorHAnsi" w:hAnsiTheme="minorHAnsi"/>
        </w:rPr>
      </w:pPr>
      <w:r w:rsidRPr="00E15DB1">
        <w:rPr>
          <w:rFonts w:asciiTheme="minorHAnsi" w:hAnsiTheme="minorHAnsi"/>
          <w:b/>
          <w:bCs/>
        </w:rPr>
        <w:t xml:space="preserve">Citation: </w:t>
      </w:r>
      <w:r w:rsidR="002D5DC5" w:rsidRPr="00E15DB1">
        <w:rPr>
          <w:rFonts w:asciiTheme="minorHAnsi" w:hAnsiTheme="minorHAnsi"/>
        </w:rPr>
        <w:t xml:space="preserve">24 CFR 578.37(a)(1)(ii), 24 CFR 578.37(a)(1)(ii)(C), and 24 CFR 578.51(a)(1)(i) </w:t>
      </w:r>
    </w:p>
    <w:p w14:paraId="738686D4" w14:textId="77777777" w:rsidR="002D5DC5" w:rsidRPr="00E15DB1" w:rsidRDefault="00B73944" w:rsidP="002D5DC5">
      <w:pPr>
        <w:pStyle w:val="NormalWeb"/>
        <w:jc w:val="both"/>
        <w:rPr>
          <w:rFonts w:asciiTheme="minorHAnsi" w:hAnsiTheme="minorHAnsi"/>
        </w:rPr>
      </w:pPr>
      <w:r w:rsidRPr="00E15DB1">
        <w:rPr>
          <w:rFonts w:asciiTheme="minorHAnsi" w:hAnsiTheme="minorHAnsi"/>
          <w:b/>
          <w:bCs/>
        </w:rPr>
        <w:t>Justification</w:t>
      </w:r>
      <w:r w:rsidRPr="00E15DB1">
        <w:rPr>
          <w:rFonts w:asciiTheme="minorHAnsi" w:hAnsiTheme="minorHAnsi"/>
        </w:rPr>
        <w:t xml:space="preserve">: </w:t>
      </w:r>
      <w:r w:rsidR="002D5DC5" w:rsidRPr="00E15DB1">
        <w:rPr>
          <w:rFonts w:asciiTheme="minorHAnsi" w:hAnsiTheme="minorHAnsi"/>
        </w:rPr>
        <w:t xml:space="preserve">Waiving the limit on using rental assistance in rapid re-housing projects to pay more than 24 months will ensure that individuals and families currently receiving rapid re-housing assistance do not lose their assistance, and consequently their housing, during the COVID-19 public health crisis and the subsequent economic downturn. This will reduce the spread and harm of COVID-19 by enabling affected program participants to continue to socially isolate in their housing. </w:t>
      </w:r>
    </w:p>
    <w:p w14:paraId="6A0EC53C" w14:textId="2B1FD30F" w:rsidR="00B73944" w:rsidRDefault="00B73944" w:rsidP="002D5DC5">
      <w:pPr>
        <w:pStyle w:val="NormalWeb"/>
        <w:jc w:val="both"/>
        <w:rPr>
          <w:rFonts w:asciiTheme="minorHAnsi" w:hAnsiTheme="minorHAnsi"/>
        </w:rPr>
      </w:pPr>
      <w:r w:rsidRPr="00E15DB1">
        <w:rPr>
          <w:rFonts w:asciiTheme="minorHAnsi" w:hAnsiTheme="minorHAnsi"/>
          <w:b/>
          <w:bCs/>
        </w:rPr>
        <w:t xml:space="preserve">Time Frame: </w:t>
      </w:r>
      <w:r w:rsidR="002D5DC5" w:rsidRPr="00E15DB1">
        <w:rPr>
          <w:rFonts w:asciiTheme="minorHAnsi" w:hAnsiTheme="minorHAnsi"/>
        </w:rPr>
        <w:t xml:space="preserve">The 24-month rental assistance restriction is waived for program participants in CoC rapid re-housing who will have reached 24 months of rental assistance beginning two days from when this agency notified HUD of intent to use this waiver until a state or local public health official has determined special measures are no longer necessary to prevent the spread of COVID-19. Program participants who have reached 24 months of rental assistance during this time and who will not be able to afford their rent without additional rental assistance will be eligible to </w:t>
      </w:r>
      <w:r w:rsidR="002D5DC5" w:rsidRPr="00E15DB1">
        <w:rPr>
          <w:rFonts w:asciiTheme="minorHAnsi" w:hAnsiTheme="minorHAnsi"/>
        </w:rPr>
        <w:lastRenderedPageBreak/>
        <w:t xml:space="preserve">receive rental assistance until 3 months after a state or local public health official has determined that special measures are no longer necessary to prevent the spread of COVID-19. </w:t>
      </w:r>
    </w:p>
    <w:p w14:paraId="7EF09FFE" w14:textId="70A09734" w:rsidR="004D2ADF" w:rsidRPr="004D2ADF" w:rsidRDefault="004D2ADF" w:rsidP="004D2ADF">
      <w:pPr>
        <w:jc w:val="both"/>
        <w:rPr>
          <w:rFonts w:cstheme="minorHAnsi"/>
          <w:color w:val="FF0000"/>
          <w:sz w:val="24"/>
          <w:szCs w:val="24"/>
        </w:rPr>
      </w:pPr>
      <w:r w:rsidRPr="004D2ADF">
        <w:rPr>
          <w:rFonts w:cstheme="minorHAnsi"/>
          <w:color w:val="FF0000"/>
          <w:sz w:val="24"/>
          <w:szCs w:val="24"/>
        </w:rPr>
        <w:t>The ESG CV Notice established that program participants who receive the maximum amount of assistance (24 months within 3 years) between January 21, 2020 and March 1, 2021 may receive an additional 6 months of rental assistance and services.  This applies to ESG RRH participants who receive the maximum amount of assistance (24 months within 3 years) between January 21, 2020 and March 1, 2021</w:t>
      </w:r>
    </w:p>
    <w:p w14:paraId="7F4D0FB9" w14:textId="22F51C03" w:rsidR="002D5DC5" w:rsidRPr="00E15DB1" w:rsidRDefault="00B73944" w:rsidP="002D5DC5">
      <w:pPr>
        <w:pStyle w:val="NormalWeb"/>
        <w:jc w:val="both"/>
        <w:rPr>
          <w:rFonts w:asciiTheme="minorHAnsi" w:hAnsiTheme="minorHAnsi"/>
        </w:rPr>
      </w:pPr>
      <w:r w:rsidRPr="00E15DB1">
        <w:rPr>
          <w:rFonts w:asciiTheme="minorHAnsi" w:hAnsiTheme="minorHAnsi"/>
          <w:b/>
          <w:bCs/>
        </w:rPr>
        <w:t xml:space="preserve">Procedure: </w:t>
      </w:r>
      <w:r w:rsidR="002D5DC5" w:rsidRPr="00E15DB1">
        <w:rPr>
          <w:rFonts w:asciiTheme="minorHAnsi" w:hAnsiTheme="minorHAnsi"/>
          <w:b/>
          <w:bCs/>
        </w:rPr>
        <w:t xml:space="preserve"> </w:t>
      </w:r>
      <w:r w:rsidR="002D5DC5" w:rsidRPr="00E15DB1">
        <w:rPr>
          <w:rFonts w:asciiTheme="minorHAnsi" w:hAnsiTheme="minorHAnsi"/>
        </w:rPr>
        <w:t xml:space="preserve">The recipient/subrecipient </w:t>
      </w:r>
      <w:r w:rsidR="004A0872" w:rsidRPr="00E15DB1">
        <w:rPr>
          <w:rFonts w:asciiTheme="minorHAnsi" w:hAnsiTheme="minorHAnsi"/>
        </w:rPr>
        <w:t xml:space="preserve">will re-assess each participant household’s needs at least every 90 days and </w:t>
      </w:r>
      <w:r w:rsidR="002D5DC5" w:rsidRPr="00E15DB1">
        <w:rPr>
          <w:rFonts w:asciiTheme="minorHAnsi" w:hAnsiTheme="minorHAnsi"/>
        </w:rPr>
        <w:t xml:space="preserve">will provide RRH assistance for the shortest period necessary to prevent participants from losing their housing.  The recipient/subrecipient will monitor updates from state and local public health officials to determine when those official determine that special measures are no longer necessary to prevent the spread of COVID-19. </w:t>
      </w:r>
      <w:r w:rsidR="004A0872" w:rsidRPr="00E15DB1">
        <w:rPr>
          <w:rFonts w:asciiTheme="minorHAnsi" w:hAnsiTheme="minorHAnsi"/>
        </w:rPr>
        <w:t xml:space="preserve">Upon such a determination by state or local public health officials, the recipient/subrecipient will terminate RRH assistance within 3 months for all participants who have reached 24 months of rental assistance.  The recipient/subrecipient will follow all Termination of Assistance requirements as outlined in the </w:t>
      </w:r>
      <w:hyperlink r:id="rId12" w:history="1">
        <w:r w:rsidR="004A0872" w:rsidRPr="00E15DB1">
          <w:rPr>
            <w:rStyle w:val="Hyperlink"/>
            <w:rFonts w:asciiTheme="minorHAnsi" w:hAnsiTheme="minorHAnsi"/>
          </w:rPr>
          <w:t>State of Connecticut Rapid Re-Housing Model Guidelines</w:t>
        </w:r>
      </w:hyperlink>
      <w:r w:rsidR="004A0872" w:rsidRPr="00E15DB1">
        <w:rPr>
          <w:rFonts w:asciiTheme="minorHAnsi" w:hAnsiTheme="minorHAnsi"/>
        </w:rPr>
        <w:t>.</w:t>
      </w:r>
    </w:p>
    <w:p w14:paraId="73520DEC" w14:textId="61352373" w:rsidR="003E6482" w:rsidRDefault="00B73944" w:rsidP="00E15DB1">
      <w:pPr>
        <w:pStyle w:val="NormalWeb"/>
        <w:jc w:val="both"/>
        <w:rPr>
          <w:rFonts w:asciiTheme="minorHAnsi" w:hAnsiTheme="minorHAnsi"/>
        </w:rPr>
      </w:pPr>
      <w:r w:rsidRPr="00E15DB1">
        <w:rPr>
          <w:rFonts w:asciiTheme="minorHAnsi" w:hAnsiTheme="minorHAnsi"/>
          <w:b/>
          <w:bCs/>
        </w:rPr>
        <w:t xml:space="preserve">Documentation: </w:t>
      </w:r>
      <w:r w:rsidR="004A0872" w:rsidRPr="00E15DB1">
        <w:rPr>
          <w:rFonts w:asciiTheme="minorHAnsi" w:hAnsiTheme="minorHAnsi"/>
        </w:rPr>
        <w:t xml:space="preserve">The recipient/subrecipient document </w:t>
      </w:r>
      <w:r w:rsidR="00BA08CB" w:rsidRPr="00E15DB1">
        <w:rPr>
          <w:rFonts w:asciiTheme="minorHAnsi" w:hAnsiTheme="minorHAnsi"/>
        </w:rPr>
        <w:t xml:space="preserve">in the participant file the circumstances that necessitate continuation of assistance beyond 24 months to prevent housing loss.  The recipient/subrecipient </w:t>
      </w:r>
      <w:r w:rsidR="004A0872" w:rsidRPr="00E15DB1">
        <w:rPr>
          <w:rFonts w:asciiTheme="minorHAnsi" w:hAnsiTheme="minorHAnsi"/>
        </w:rPr>
        <w:t xml:space="preserve">will </w:t>
      </w:r>
      <w:r w:rsidR="00BA08CB" w:rsidRPr="00E15DB1">
        <w:rPr>
          <w:rFonts w:asciiTheme="minorHAnsi" w:hAnsiTheme="minorHAnsi"/>
        </w:rPr>
        <w:t xml:space="preserve">also </w:t>
      </w:r>
      <w:r w:rsidR="004A0872" w:rsidRPr="00E15DB1">
        <w:rPr>
          <w:rFonts w:asciiTheme="minorHAnsi" w:hAnsiTheme="minorHAnsi"/>
        </w:rPr>
        <w:t xml:space="preserve">follow all documentation requirements as outlined in the </w:t>
      </w:r>
      <w:hyperlink r:id="rId13" w:history="1">
        <w:r w:rsidR="004A0872" w:rsidRPr="00E15DB1">
          <w:rPr>
            <w:rStyle w:val="Hyperlink"/>
            <w:rFonts w:asciiTheme="minorHAnsi" w:hAnsiTheme="minorHAnsi"/>
          </w:rPr>
          <w:t>State of Connecticut Rapid Re-Housing Model Guidelines</w:t>
        </w:r>
      </w:hyperlink>
      <w:r w:rsidR="004A0872" w:rsidRPr="00E15DB1">
        <w:rPr>
          <w:rFonts w:asciiTheme="minorHAnsi" w:hAnsiTheme="minorHAnsi"/>
        </w:rPr>
        <w:t xml:space="preserve">. </w:t>
      </w:r>
    </w:p>
    <w:p w14:paraId="4E9DE9B0" w14:textId="77777777" w:rsidR="00E15DB1" w:rsidRPr="00E15DB1" w:rsidRDefault="00E15DB1" w:rsidP="00E15DB1">
      <w:pPr>
        <w:pStyle w:val="NormalWeb"/>
        <w:jc w:val="both"/>
        <w:rPr>
          <w:rFonts w:asciiTheme="minorHAnsi" w:hAnsiTheme="minorHAnsi"/>
        </w:rPr>
      </w:pPr>
    </w:p>
    <w:p w14:paraId="76A2DE40" w14:textId="0EFB8AC5" w:rsidR="00E15DB1" w:rsidRPr="00D95E21" w:rsidRDefault="00B73944" w:rsidP="00D95E21">
      <w:pPr>
        <w:pStyle w:val="Heading2"/>
        <w:jc w:val="both"/>
        <w:rPr>
          <w:rFonts w:asciiTheme="minorHAnsi" w:hAnsiTheme="minorHAnsi"/>
          <w:sz w:val="24"/>
          <w:szCs w:val="24"/>
        </w:rPr>
      </w:pPr>
      <w:bookmarkStart w:id="9" w:name="_Toc52973331"/>
      <w:r w:rsidRPr="00E15DB1">
        <w:rPr>
          <w:rFonts w:asciiTheme="minorHAnsi" w:hAnsiTheme="minorHAnsi"/>
          <w:sz w:val="24"/>
          <w:szCs w:val="24"/>
        </w:rPr>
        <w:t xml:space="preserve">2. </w:t>
      </w:r>
      <w:r w:rsidR="003E6482" w:rsidRPr="00E15DB1">
        <w:rPr>
          <w:rFonts w:asciiTheme="minorHAnsi" w:hAnsiTheme="minorHAnsi"/>
          <w:sz w:val="24"/>
          <w:szCs w:val="24"/>
        </w:rPr>
        <w:t>Apply in the next CoC Competition based on the BLIs before any amendment</w:t>
      </w:r>
      <w:bookmarkEnd w:id="9"/>
    </w:p>
    <w:p w14:paraId="0DA33288" w14:textId="77777777" w:rsidR="00D95E21" w:rsidRDefault="00D95E21" w:rsidP="002D5DC5">
      <w:pPr>
        <w:jc w:val="both"/>
        <w:rPr>
          <w:b/>
          <w:bCs/>
          <w:sz w:val="24"/>
          <w:szCs w:val="24"/>
        </w:rPr>
      </w:pPr>
    </w:p>
    <w:p w14:paraId="6054B881" w14:textId="7ACA186D" w:rsidR="003E6482" w:rsidRPr="00E15DB1" w:rsidRDefault="00BA08CB" w:rsidP="002D5DC5">
      <w:pPr>
        <w:jc w:val="both"/>
        <w:rPr>
          <w:sz w:val="24"/>
          <w:szCs w:val="24"/>
        </w:rPr>
      </w:pPr>
      <w:r w:rsidRPr="00E15DB1">
        <w:rPr>
          <w:b/>
          <w:bCs/>
          <w:sz w:val="24"/>
          <w:szCs w:val="24"/>
        </w:rPr>
        <w:t xml:space="preserve">Requirement: </w:t>
      </w:r>
      <w:r w:rsidRPr="00E15DB1">
        <w:rPr>
          <w:sz w:val="24"/>
          <w:szCs w:val="24"/>
        </w:rPr>
        <w:t>With respect to renewing CoC Program awards, 24 CFR 578.33(c) requires that assistance for a renewal period will be up to 100 percent of the amount available for supportive services and HMIS costs in the final year of the prior funding period, up to 100 percent of the amount for leasing and operating in the final year of the prior funding period adjusted in proportion to changes in FMR for the geographic area, and for rental assistance up to 100 percent of the result of multiplying the number and unit size(s) in the grant agreement by the number of months in the grant agreement and the applicable FMR.</w:t>
      </w:r>
    </w:p>
    <w:p w14:paraId="294600B9" w14:textId="2257B94A" w:rsidR="00BA08CB" w:rsidRPr="00E15DB1" w:rsidRDefault="00BA08CB" w:rsidP="002D5DC5">
      <w:pPr>
        <w:jc w:val="both"/>
        <w:rPr>
          <w:b/>
          <w:bCs/>
          <w:sz w:val="24"/>
          <w:szCs w:val="24"/>
        </w:rPr>
      </w:pPr>
      <w:r w:rsidRPr="00E15DB1">
        <w:rPr>
          <w:b/>
          <w:bCs/>
          <w:sz w:val="24"/>
          <w:szCs w:val="24"/>
        </w:rPr>
        <w:t xml:space="preserve">Citation: </w:t>
      </w:r>
      <w:r w:rsidRPr="00E15DB1">
        <w:rPr>
          <w:sz w:val="24"/>
          <w:szCs w:val="24"/>
        </w:rPr>
        <w:t>24 CFR 578.33(c)</w:t>
      </w:r>
    </w:p>
    <w:p w14:paraId="2D370D39" w14:textId="0B68A893" w:rsidR="003E6482" w:rsidRPr="00E15DB1" w:rsidRDefault="00BA08CB" w:rsidP="00BA08CB">
      <w:pPr>
        <w:jc w:val="both"/>
        <w:rPr>
          <w:b/>
          <w:bCs/>
          <w:sz w:val="24"/>
          <w:szCs w:val="24"/>
        </w:rPr>
      </w:pPr>
      <w:r w:rsidRPr="00E15DB1">
        <w:rPr>
          <w:b/>
          <w:bCs/>
          <w:sz w:val="24"/>
          <w:szCs w:val="24"/>
        </w:rPr>
        <w:t xml:space="preserve">Explanation: </w:t>
      </w:r>
      <w:r w:rsidRPr="00E15DB1">
        <w:rPr>
          <w:sz w:val="24"/>
          <w:szCs w:val="24"/>
        </w:rPr>
        <w:t>HUD requires that budget line item amounts a recipient is awarded for renewal in the CoC Program Competition will be based on the amounts in the final year of the prior funding period for the project.</w:t>
      </w:r>
    </w:p>
    <w:p w14:paraId="6B95E7F2" w14:textId="6B8A4619" w:rsidR="00BA08CB" w:rsidRPr="00E15DB1" w:rsidRDefault="00BA08CB" w:rsidP="00BA08CB">
      <w:pPr>
        <w:jc w:val="both"/>
        <w:rPr>
          <w:sz w:val="24"/>
          <w:szCs w:val="24"/>
        </w:rPr>
      </w:pPr>
      <w:r w:rsidRPr="00E15DB1">
        <w:rPr>
          <w:b/>
          <w:bCs/>
          <w:sz w:val="24"/>
          <w:szCs w:val="24"/>
        </w:rPr>
        <w:lastRenderedPageBreak/>
        <w:t>Justification</w:t>
      </w:r>
      <w:r w:rsidRPr="00E15DB1">
        <w:rPr>
          <w:sz w:val="24"/>
          <w:szCs w:val="24"/>
        </w:rPr>
        <w:t>: Waiving the requirement that the renewal grant amount is based on the budget line items in the final year of the grant being renewed will allow recipients to amend their budgets temporarily to address the needs of its program participants in responding to COVID-19 (e.g., providing different supportive services necessitated by the pandemic or serving fewer people because of the layout of the housing does not meet local social distancing recommendations) without changing the original design of the project when it is not operating in a public health crisis and can resume normal operations.</w:t>
      </w:r>
    </w:p>
    <w:p w14:paraId="266FC7BE" w14:textId="74D3B328" w:rsidR="00BA08CB" w:rsidRPr="00E15DB1" w:rsidRDefault="00BA08CB" w:rsidP="00BA08CB">
      <w:pPr>
        <w:rPr>
          <w:color w:val="FF0000"/>
          <w:sz w:val="24"/>
          <w:szCs w:val="24"/>
        </w:rPr>
      </w:pPr>
      <w:r w:rsidRPr="00E15DB1">
        <w:rPr>
          <w:b/>
          <w:bCs/>
          <w:sz w:val="24"/>
          <w:szCs w:val="24"/>
        </w:rPr>
        <w:t xml:space="preserve">Time Frame:  </w:t>
      </w:r>
      <w:r w:rsidRPr="00E15DB1">
        <w:rPr>
          <w:rFonts w:cs="Calibri"/>
          <w:color w:val="000000" w:themeColor="text1"/>
          <w:sz w:val="24"/>
          <w:szCs w:val="24"/>
        </w:rPr>
        <w:t xml:space="preserve">All CoC projects that execute grant agreement amendment in response to COVID-19 between  March 31, 2020 and </w:t>
      </w:r>
      <w:r w:rsidR="004D2ADF" w:rsidRPr="004D2ADF">
        <w:rPr>
          <w:rFonts w:cs="Calibri"/>
          <w:color w:val="FF0000"/>
          <w:sz w:val="24"/>
          <w:szCs w:val="24"/>
        </w:rPr>
        <w:t>December 31</w:t>
      </w:r>
      <w:r w:rsidRPr="004D2ADF">
        <w:rPr>
          <w:rFonts w:cs="Calibri"/>
          <w:color w:val="FF0000"/>
          <w:sz w:val="24"/>
          <w:szCs w:val="24"/>
        </w:rPr>
        <w:t xml:space="preserve">, 2020 </w:t>
      </w:r>
      <w:r w:rsidRPr="00E15DB1">
        <w:rPr>
          <w:rFonts w:cs="Calibri"/>
          <w:color w:val="000000" w:themeColor="text1"/>
          <w:sz w:val="24"/>
          <w:szCs w:val="24"/>
        </w:rPr>
        <w:t>to move funds between budget line items may</w:t>
      </w:r>
      <w:r w:rsidRPr="00E15DB1">
        <w:rPr>
          <w:rStyle w:val="apple-converted-space"/>
          <w:rFonts w:cs="Calibri"/>
          <w:color w:val="000000" w:themeColor="text1"/>
          <w:sz w:val="24"/>
          <w:szCs w:val="24"/>
        </w:rPr>
        <w:t> </w:t>
      </w:r>
      <w:r w:rsidRPr="00E15DB1">
        <w:rPr>
          <w:rFonts w:cs="Calibri"/>
          <w:color w:val="000000" w:themeColor="text1"/>
          <w:sz w:val="24"/>
          <w:szCs w:val="24"/>
        </w:rPr>
        <w:t>apply in the next CoC Competition based on the Budget Line Items before they were amended.</w:t>
      </w:r>
      <w:r w:rsidRPr="00E15DB1">
        <w:rPr>
          <w:rStyle w:val="apple-converted-space"/>
          <w:rFonts w:cs="Calibri"/>
          <w:color w:val="000000" w:themeColor="text1"/>
          <w:sz w:val="24"/>
          <w:szCs w:val="24"/>
        </w:rPr>
        <w:t> </w:t>
      </w:r>
    </w:p>
    <w:p w14:paraId="74CA8860" w14:textId="0443B23E" w:rsidR="00BA08CB" w:rsidRPr="00E15DB1" w:rsidRDefault="00BA08CB" w:rsidP="00BA08CB">
      <w:pPr>
        <w:spacing w:after="150"/>
        <w:jc w:val="both"/>
        <w:rPr>
          <w:rFonts w:cs="Calibri"/>
          <w:color w:val="000000" w:themeColor="text1"/>
          <w:sz w:val="24"/>
          <w:szCs w:val="24"/>
        </w:rPr>
      </w:pPr>
      <w:r w:rsidRPr="00E15DB1">
        <w:rPr>
          <w:b/>
          <w:bCs/>
          <w:sz w:val="24"/>
          <w:szCs w:val="24"/>
        </w:rPr>
        <w:t xml:space="preserve">Procedure: </w:t>
      </w:r>
      <w:r w:rsidRPr="00E15DB1">
        <w:rPr>
          <w:rFonts w:cs="Calibri"/>
          <w:color w:val="000000" w:themeColor="text1"/>
          <w:sz w:val="24"/>
          <w:szCs w:val="24"/>
        </w:rPr>
        <w:t xml:space="preserve">In response to the COVID-19 pandemic, </w:t>
      </w:r>
      <w:r w:rsidRPr="00E15DB1">
        <w:rPr>
          <w:sz w:val="24"/>
          <w:szCs w:val="24"/>
        </w:rPr>
        <w:t xml:space="preserve">recipient/subrecipient will review all CoC grant agreements to determine what amendments may be necessary to address the needs of its program participants in responding to COVID-19.  </w:t>
      </w:r>
      <w:r w:rsidR="00BF6E66" w:rsidRPr="00E15DB1">
        <w:rPr>
          <w:sz w:val="24"/>
          <w:szCs w:val="24"/>
        </w:rPr>
        <w:t xml:space="preserve">As determined necessary, the recipient of CoC funds will use </w:t>
      </w:r>
      <w:r w:rsidRPr="00E15DB1">
        <w:rPr>
          <w:sz w:val="24"/>
          <w:szCs w:val="24"/>
        </w:rPr>
        <w:t xml:space="preserve"> </w:t>
      </w:r>
      <w:r w:rsidRPr="00E15DB1">
        <w:rPr>
          <w:rFonts w:cs="Calibri"/>
          <w:color w:val="000000" w:themeColor="text1"/>
          <w:sz w:val="24"/>
          <w:szCs w:val="24"/>
        </w:rPr>
        <w:t>HUD’s Office of Special Needs Assistance Programs</w:t>
      </w:r>
      <w:r w:rsidR="00BF6E66" w:rsidRPr="00E15DB1">
        <w:rPr>
          <w:rFonts w:cs="Calibri"/>
          <w:color w:val="000000" w:themeColor="text1"/>
          <w:sz w:val="24"/>
          <w:szCs w:val="24"/>
        </w:rPr>
        <w:t>’</w:t>
      </w:r>
      <w:r w:rsidRPr="00E15DB1">
        <w:rPr>
          <w:rFonts w:cs="Calibri"/>
          <w:color w:val="000000" w:themeColor="text1"/>
          <w:sz w:val="24"/>
          <w:szCs w:val="24"/>
        </w:rPr>
        <w:t xml:space="preserve"> (SNAPS)  expedited process for amending CoC Program grant agreements</w:t>
      </w:r>
      <w:r w:rsidR="00BF6E66" w:rsidRPr="00E15DB1">
        <w:rPr>
          <w:rFonts w:cs="Calibri"/>
          <w:color w:val="000000" w:themeColor="text1"/>
          <w:sz w:val="24"/>
          <w:szCs w:val="24"/>
        </w:rPr>
        <w:t xml:space="preserve"> in accordance with the </w:t>
      </w:r>
      <w:r w:rsidRPr="00E15DB1">
        <w:rPr>
          <w:rFonts w:cs="Calibri"/>
          <w:color w:val="000000" w:themeColor="text1"/>
          <w:sz w:val="24"/>
          <w:szCs w:val="24"/>
        </w:rPr>
        <w:t xml:space="preserve"> process outlined </w:t>
      </w:r>
      <w:hyperlink r:id="rId14" w:history="1">
        <w:r w:rsidR="00BF6E66" w:rsidRPr="00E15DB1">
          <w:rPr>
            <w:rStyle w:val="Hyperlink"/>
            <w:rFonts w:cs="Calibri"/>
            <w:sz w:val="24"/>
            <w:szCs w:val="24"/>
          </w:rPr>
          <w:t>here</w:t>
        </w:r>
      </w:hyperlink>
      <w:r w:rsidR="00BF6E66" w:rsidRPr="00E15DB1">
        <w:rPr>
          <w:rFonts w:cs="Calibri"/>
          <w:color w:val="000000" w:themeColor="text1"/>
          <w:sz w:val="24"/>
          <w:szCs w:val="24"/>
        </w:rPr>
        <w:t>.</w:t>
      </w:r>
    </w:p>
    <w:p w14:paraId="5796B670" w14:textId="490AF330" w:rsidR="00BF6E66" w:rsidRPr="00E15DB1" w:rsidRDefault="00BA08CB" w:rsidP="00BF6E66">
      <w:pPr>
        <w:spacing w:after="150"/>
        <w:jc w:val="both"/>
        <w:rPr>
          <w:rFonts w:cs="Calibri"/>
          <w:color w:val="000000" w:themeColor="text1"/>
          <w:sz w:val="24"/>
          <w:szCs w:val="24"/>
        </w:rPr>
      </w:pPr>
      <w:r w:rsidRPr="00E15DB1">
        <w:rPr>
          <w:b/>
          <w:bCs/>
          <w:sz w:val="24"/>
          <w:szCs w:val="24"/>
        </w:rPr>
        <w:t xml:space="preserve">Documentation: </w:t>
      </w:r>
      <w:r w:rsidR="00BF6E66" w:rsidRPr="00E15DB1">
        <w:rPr>
          <w:sz w:val="24"/>
          <w:szCs w:val="24"/>
        </w:rPr>
        <w:t>The recipient will maintain</w:t>
      </w:r>
      <w:r w:rsidR="00BF6E66" w:rsidRPr="00E15DB1">
        <w:rPr>
          <w:rFonts w:cs="Calibri"/>
          <w:color w:val="000000" w:themeColor="text1"/>
          <w:sz w:val="24"/>
          <w:szCs w:val="24"/>
        </w:rPr>
        <w:t xml:space="preserve"> the following documentation in their project files: a copy of the signed grant agreement request form submitted to HUD, a copy of any additional information submitted upon request by HUD, a copy of the approved grant agreement amendment, and documentation that supports the request for the grant agreement amendment. </w:t>
      </w:r>
    </w:p>
    <w:p w14:paraId="25921822" w14:textId="4BE1CC24" w:rsidR="00BA08CB" w:rsidRPr="00E15DB1" w:rsidRDefault="00BA08CB" w:rsidP="00BA08CB">
      <w:pPr>
        <w:jc w:val="both"/>
        <w:rPr>
          <w:rFonts w:cs="Calibri"/>
          <w:color w:val="FF0000"/>
          <w:sz w:val="24"/>
          <w:szCs w:val="24"/>
        </w:rPr>
      </w:pPr>
    </w:p>
    <w:p w14:paraId="7435B0B0" w14:textId="1C2C0A2A" w:rsidR="003E6482" w:rsidRPr="00E15DB1" w:rsidRDefault="00B73944" w:rsidP="00FC77C5">
      <w:pPr>
        <w:pStyle w:val="Heading2"/>
        <w:jc w:val="both"/>
        <w:rPr>
          <w:rFonts w:asciiTheme="minorHAnsi" w:hAnsiTheme="minorHAnsi"/>
          <w:sz w:val="24"/>
          <w:szCs w:val="24"/>
        </w:rPr>
      </w:pPr>
      <w:bookmarkStart w:id="10" w:name="_Toc52973332"/>
      <w:r w:rsidRPr="00E15DB1">
        <w:rPr>
          <w:rFonts w:asciiTheme="minorHAnsi" w:hAnsiTheme="minorHAnsi"/>
          <w:sz w:val="24"/>
          <w:szCs w:val="24"/>
        </w:rPr>
        <w:t xml:space="preserve">3. </w:t>
      </w:r>
      <w:r w:rsidR="00FC77C5" w:rsidRPr="00E15DB1">
        <w:rPr>
          <w:rFonts w:asciiTheme="minorHAnsi" w:hAnsiTheme="minorHAnsi"/>
          <w:sz w:val="24"/>
          <w:szCs w:val="24"/>
        </w:rPr>
        <w:t>C</w:t>
      </w:r>
      <w:r w:rsidR="003E6482" w:rsidRPr="00E15DB1">
        <w:rPr>
          <w:rFonts w:asciiTheme="minorHAnsi" w:hAnsiTheme="minorHAnsi"/>
          <w:sz w:val="24"/>
          <w:szCs w:val="24"/>
        </w:rPr>
        <w:t>hange to DedicatedPLUS eligibility criteria</w:t>
      </w:r>
      <w:bookmarkEnd w:id="10"/>
    </w:p>
    <w:p w14:paraId="4F6D4338" w14:textId="77777777" w:rsidR="00FC77C5" w:rsidRPr="00E15DB1" w:rsidRDefault="00FC77C5" w:rsidP="00FC77C5">
      <w:pPr>
        <w:rPr>
          <w:sz w:val="24"/>
          <w:szCs w:val="24"/>
        </w:rPr>
      </w:pPr>
    </w:p>
    <w:p w14:paraId="7F1E903C" w14:textId="3618160B" w:rsidR="00BA08CB" w:rsidRPr="00E15DB1" w:rsidRDefault="00BA08CB" w:rsidP="002D5DC5">
      <w:pPr>
        <w:jc w:val="both"/>
        <w:rPr>
          <w:b/>
          <w:bCs/>
          <w:sz w:val="24"/>
          <w:szCs w:val="24"/>
        </w:rPr>
      </w:pPr>
      <w:r w:rsidRPr="00E15DB1">
        <w:rPr>
          <w:b/>
          <w:bCs/>
          <w:sz w:val="24"/>
          <w:szCs w:val="24"/>
        </w:rPr>
        <w:t xml:space="preserve">Requirement: </w:t>
      </w:r>
      <w:r w:rsidR="004F499A" w:rsidRPr="00E15DB1">
        <w:rPr>
          <w:sz w:val="24"/>
          <w:szCs w:val="24"/>
        </w:rPr>
        <w:t xml:space="preserve">To be eligible for a DedicatedPLUS project an individual or family must meet the criteria of DedicatedPLUS in the Notice of Funding Availability under which the grant was awarded. One of the possible criteria is residing in transitional housing </w:t>
      </w:r>
      <w:r w:rsidR="004F499A" w:rsidRPr="00E15DB1">
        <w:rPr>
          <w:i/>
          <w:iCs/>
          <w:sz w:val="24"/>
          <w:szCs w:val="24"/>
        </w:rPr>
        <w:t xml:space="preserve">that will be eliminated </w:t>
      </w:r>
      <w:r w:rsidR="004F499A" w:rsidRPr="00E15DB1">
        <w:rPr>
          <w:sz w:val="24"/>
          <w:szCs w:val="24"/>
        </w:rPr>
        <w:t>and meeting the definition of chronically homeless in effect at the time in which the individual or family entered the transitional housing project.</w:t>
      </w:r>
    </w:p>
    <w:p w14:paraId="76D13031" w14:textId="6E875E7A" w:rsidR="00BA08CB" w:rsidRPr="00E15DB1" w:rsidRDefault="00BA08CB" w:rsidP="00BA08CB">
      <w:pPr>
        <w:jc w:val="both"/>
        <w:rPr>
          <w:b/>
          <w:bCs/>
          <w:sz w:val="24"/>
          <w:szCs w:val="24"/>
        </w:rPr>
      </w:pPr>
      <w:r w:rsidRPr="00E15DB1">
        <w:rPr>
          <w:b/>
          <w:bCs/>
          <w:sz w:val="24"/>
          <w:szCs w:val="24"/>
        </w:rPr>
        <w:t>Citation:</w:t>
      </w:r>
      <w:r w:rsidR="004F499A" w:rsidRPr="00E15DB1">
        <w:rPr>
          <w:b/>
          <w:bCs/>
          <w:sz w:val="24"/>
          <w:szCs w:val="24"/>
        </w:rPr>
        <w:t xml:space="preserve"> </w:t>
      </w:r>
      <w:r w:rsidR="004F499A" w:rsidRPr="00E15DB1">
        <w:rPr>
          <w:sz w:val="24"/>
          <w:szCs w:val="24"/>
        </w:rPr>
        <w:t>Section III.C.3.f.(2) of the FY 2018 CoC Program Competition NOFA and Section III.C.2.g.(2) of the FY 2019 CoC Program Competition NOFA.</w:t>
      </w:r>
    </w:p>
    <w:p w14:paraId="5232B3C6" w14:textId="3CD148BB" w:rsidR="00BA08CB" w:rsidRPr="00E15DB1" w:rsidRDefault="00BA08CB" w:rsidP="00BA08CB">
      <w:pPr>
        <w:jc w:val="both"/>
        <w:rPr>
          <w:sz w:val="24"/>
          <w:szCs w:val="24"/>
        </w:rPr>
      </w:pPr>
      <w:r w:rsidRPr="00E15DB1">
        <w:rPr>
          <w:b/>
          <w:bCs/>
          <w:sz w:val="24"/>
          <w:szCs w:val="24"/>
        </w:rPr>
        <w:t>Explanation:</w:t>
      </w:r>
      <w:r w:rsidR="004F499A" w:rsidRPr="00E15DB1">
        <w:rPr>
          <w:b/>
          <w:bCs/>
          <w:sz w:val="24"/>
          <w:szCs w:val="24"/>
        </w:rPr>
        <w:t xml:space="preserve"> </w:t>
      </w:r>
      <w:r w:rsidR="004F499A" w:rsidRPr="00E15DB1">
        <w:rPr>
          <w:sz w:val="24"/>
          <w:szCs w:val="24"/>
        </w:rPr>
        <w:t>The 2018 and 2019 CoC Program NOFAs define a DedicatedPLUS project as a PSH project where 100 percent of the beds are dedicated to serve individuals and families residing in one of six places at intake, including residing in a transitional housing project that will be eliminated.</w:t>
      </w:r>
    </w:p>
    <w:p w14:paraId="7E278306" w14:textId="7C4E6DB1" w:rsidR="00BA08CB" w:rsidRPr="00E15DB1" w:rsidRDefault="00BA08CB" w:rsidP="00BA08CB">
      <w:pPr>
        <w:jc w:val="both"/>
        <w:rPr>
          <w:sz w:val="24"/>
          <w:szCs w:val="24"/>
        </w:rPr>
      </w:pPr>
      <w:r w:rsidRPr="00E15DB1">
        <w:rPr>
          <w:b/>
          <w:bCs/>
          <w:sz w:val="24"/>
          <w:szCs w:val="24"/>
        </w:rPr>
        <w:t>Justification</w:t>
      </w:r>
      <w:r w:rsidRPr="00E15DB1">
        <w:rPr>
          <w:sz w:val="24"/>
          <w:szCs w:val="24"/>
        </w:rPr>
        <w:t>:</w:t>
      </w:r>
      <w:r w:rsidR="004F499A" w:rsidRPr="00E15DB1">
        <w:rPr>
          <w:sz w:val="24"/>
          <w:szCs w:val="24"/>
        </w:rPr>
        <w:t xml:space="preserve"> Waiving the requirement within the definition of DedicatedPLUS project that the transitional housing project is being eliminated will expand permanent housing options available </w:t>
      </w:r>
      <w:r w:rsidR="004F499A" w:rsidRPr="00E15DB1">
        <w:rPr>
          <w:sz w:val="24"/>
          <w:szCs w:val="24"/>
        </w:rPr>
        <w:lastRenderedPageBreak/>
        <w:t>for people moving out of transitional housing and will make more transitional housing beds available to others who need it. Expanding permanent housing options for persons in transitional housing will assist in preventing the spread of COVID-19 by allowing more people to move off the streets and into transitional housing.</w:t>
      </w:r>
    </w:p>
    <w:p w14:paraId="4CDA840D" w14:textId="350DCEAD" w:rsidR="00BA08CB" w:rsidRPr="00E15DB1" w:rsidRDefault="00BA08CB" w:rsidP="00BA08CB">
      <w:pPr>
        <w:jc w:val="both"/>
        <w:rPr>
          <w:b/>
          <w:bCs/>
          <w:color w:val="000000" w:themeColor="text1"/>
          <w:sz w:val="24"/>
          <w:szCs w:val="24"/>
        </w:rPr>
      </w:pPr>
      <w:r w:rsidRPr="00E15DB1">
        <w:rPr>
          <w:b/>
          <w:bCs/>
          <w:sz w:val="24"/>
          <w:szCs w:val="24"/>
        </w:rPr>
        <w:t>Time Frame:</w:t>
      </w:r>
      <w:r w:rsidR="004F499A" w:rsidRPr="00E15DB1">
        <w:rPr>
          <w:b/>
          <w:bCs/>
          <w:sz w:val="24"/>
          <w:szCs w:val="24"/>
        </w:rPr>
        <w:t xml:space="preserve"> </w:t>
      </w:r>
      <w:r w:rsidR="004F499A" w:rsidRPr="00E15DB1">
        <w:rPr>
          <w:sz w:val="24"/>
          <w:szCs w:val="24"/>
        </w:rPr>
        <w:t xml:space="preserve">The definition of DedicatedPLUS project is waived for DedicatedPLUS projects funded in the FY 2018 and FY 2019 CoC Program Competitions to allow these projects to serve individuals and families residing in transitional housing, whether it is being eliminated or not, as long as the individual or family met the definition of chronically homeless upon entry to the TH. </w:t>
      </w:r>
      <w:r w:rsidR="00FC77C5" w:rsidRPr="00E15DB1">
        <w:rPr>
          <w:color w:val="000000" w:themeColor="text1"/>
          <w:sz w:val="24"/>
          <w:szCs w:val="24"/>
        </w:rPr>
        <w:t>The e</w:t>
      </w:r>
      <w:r w:rsidR="004F499A" w:rsidRPr="00E15DB1">
        <w:rPr>
          <w:color w:val="000000" w:themeColor="text1"/>
          <w:sz w:val="24"/>
          <w:szCs w:val="24"/>
        </w:rPr>
        <w:t xml:space="preserve">xpiration date </w:t>
      </w:r>
      <w:r w:rsidR="00FC77C5" w:rsidRPr="00E15DB1">
        <w:rPr>
          <w:color w:val="000000" w:themeColor="text1"/>
          <w:sz w:val="24"/>
          <w:szCs w:val="24"/>
        </w:rPr>
        <w:t xml:space="preserve">of this waiver </w:t>
      </w:r>
      <w:r w:rsidR="004F499A" w:rsidRPr="00E15DB1">
        <w:rPr>
          <w:color w:val="000000" w:themeColor="text1"/>
          <w:sz w:val="24"/>
          <w:szCs w:val="24"/>
        </w:rPr>
        <w:t xml:space="preserve">varies by project and is determined by </w:t>
      </w:r>
      <w:r w:rsidR="00B45ED1">
        <w:rPr>
          <w:color w:val="000000" w:themeColor="text1"/>
          <w:sz w:val="24"/>
          <w:szCs w:val="24"/>
        </w:rPr>
        <w:t xml:space="preserve">each </w:t>
      </w:r>
      <w:r w:rsidR="004F499A" w:rsidRPr="00E15DB1">
        <w:rPr>
          <w:color w:val="000000" w:themeColor="text1"/>
          <w:sz w:val="24"/>
          <w:szCs w:val="24"/>
        </w:rPr>
        <w:t>grant</w:t>
      </w:r>
      <w:r w:rsidR="00B45ED1">
        <w:rPr>
          <w:color w:val="000000" w:themeColor="text1"/>
          <w:sz w:val="24"/>
          <w:szCs w:val="24"/>
        </w:rPr>
        <w:t>’s</w:t>
      </w:r>
      <w:r w:rsidR="004F499A" w:rsidRPr="00E15DB1">
        <w:rPr>
          <w:color w:val="000000" w:themeColor="text1"/>
          <w:sz w:val="24"/>
          <w:szCs w:val="24"/>
        </w:rPr>
        <w:t xml:space="preserve"> end date.</w:t>
      </w:r>
      <w:r w:rsidR="00B45ED1">
        <w:rPr>
          <w:color w:val="000000" w:themeColor="text1"/>
          <w:sz w:val="24"/>
          <w:szCs w:val="24"/>
        </w:rPr>
        <w:t xml:space="preserve">  The waiver will expire upon the end date of the grant awarded during the 2019 CoC Program Competition (i.e., during calendar year 2021).</w:t>
      </w:r>
    </w:p>
    <w:p w14:paraId="7608BEC3" w14:textId="2C0B0D10" w:rsidR="00BA08CB" w:rsidRPr="00E15DB1" w:rsidRDefault="00BA08CB" w:rsidP="00BA08CB">
      <w:pPr>
        <w:jc w:val="both"/>
        <w:rPr>
          <w:sz w:val="24"/>
          <w:szCs w:val="24"/>
        </w:rPr>
      </w:pPr>
      <w:r w:rsidRPr="00E15DB1">
        <w:rPr>
          <w:b/>
          <w:bCs/>
          <w:sz w:val="24"/>
          <w:szCs w:val="24"/>
        </w:rPr>
        <w:t xml:space="preserve">Procedure: </w:t>
      </w:r>
      <w:r w:rsidR="00FC77C5" w:rsidRPr="00E15DB1">
        <w:rPr>
          <w:sz w:val="24"/>
          <w:szCs w:val="24"/>
        </w:rPr>
        <w:t xml:space="preserve">All CT BOS Permanent Supportive Housing (PSH) projects were converted to DedicatedPLUS beginning with grants awarded in the 2019 CoC Competition.  Beginning in January 2021, </w:t>
      </w:r>
      <w:r w:rsidR="00E15DB1" w:rsidRPr="00E15DB1">
        <w:rPr>
          <w:sz w:val="24"/>
          <w:szCs w:val="24"/>
        </w:rPr>
        <w:t xml:space="preserve">Coordinated Access Networks </w:t>
      </w:r>
      <w:r w:rsidR="00FC77C5" w:rsidRPr="00E15DB1">
        <w:rPr>
          <w:sz w:val="24"/>
          <w:szCs w:val="24"/>
        </w:rPr>
        <w:t>CANs will refer to PSH projects applicants who have been preliminarily determined to meet the DedicatedPLUS definition.  Prior to project admission, the recipient</w:t>
      </w:r>
      <w:r w:rsidR="00B45ED1">
        <w:rPr>
          <w:sz w:val="24"/>
          <w:szCs w:val="24"/>
        </w:rPr>
        <w:t xml:space="preserve"> or </w:t>
      </w:r>
      <w:r w:rsidR="00FC77C5" w:rsidRPr="00E15DB1">
        <w:rPr>
          <w:sz w:val="24"/>
          <w:szCs w:val="24"/>
        </w:rPr>
        <w:t xml:space="preserve">subrecipient will verify participant eligibility and follow all intake and eligibility determination </w:t>
      </w:r>
      <w:r w:rsidR="00E15DB1" w:rsidRPr="00E15DB1">
        <w:rPr>
          <w:sz w:val="24"/>
          <w:szCs w:val="24"/>
        </w:rPr>
        <w:t xml:space="preserve">and documentation </w:t>
      </w:r>
      <w:r w:rsidR="00FC77C5" w:rsidRPr="00E15DB1">
        <w:rPr>
          <w:sz w:val="24"/>
          <w:szCs w:val="24"/>
        </w:rPr>
        <w:t>requirements as determined by the CT Balance of State (CT BOS) Continuum of Care and the CT Department of Housing (CT DOH), which oversees the CANs.</w:t>
      </w:r>
      <w:r w:rsidR="00E15DB1" w:rsidRPr="00E15DB1">
        <w:rPr>
          <w:sz w:val="24"/>
          <w:szCs w:val="24"/>
        </w:rPr>
        <w:t xml:space="preserve">  </w:t>
      </w:r>
      <w:r w:rsidR="00FC77C5" w:rsidRPr="00E15DB1">
        <w:rPr>
          <w:sz w:val="24"/>
          <w:szCs w:val="24"/>
        </w:rPr>
        <w:t xml:space="preserve">CT BOS will provide updated homelessness verification tools and guidance before that time.  All tools and guidance will be posted to </w:t>
      </w:r>
      <w:hyperlink r:id="rId15" w:history="1">
        <w:r w:rsidR="00FC77C5" w:rsidRPr="00E15DB1">
          <w:rPr>
            <w:rStyle w:val="Hyperlink"/>
            <w:sz w:val="24"/>
            <w:szCs w:val="24"/>
          </w:rPr>
          <w:t>www.ctbos.org/resources</w:t>
        </w:r>
      </w:hyperlink>
      <w:r w:rsidR="00FC77C5" w:rsidRPr="00E15DB1">
        <w:rPr>
          <w:sz w:val="24"/>
          <w:szCs w:val="24"/>
        </w:rPr>
        <w:t>.</w:t>
      </w:r>
    </w:p>
    <w:p w14:paraId="7F1C64D3" w14:textId="6B8F0C8A" w:rsidR="003E6482" w:rsidRDefault="00BA08CB" w:rsidP="002D5DC5">
      <w:pPr>
        <w:jc w:val="both"/>
        <w:rPr>
          <w:sz w:val="24"/>
          <w:szCs w:val="24"/>
        </w:rPr>
      </w:pPr>
      <w:r w:rsidRPr="00E15DB1">
        <w:rPr>
          <w:b/>
          <w:bCs/>
          <w:sz w:val="24"/>
          <w:szCs w:val="24"/>
        </w:rPr>
        <w:t xml:space="preserve">Documentation:  </w:t>
      </w:r>
      <w:r w:rsidR="00E15DB1" w:rsidRPr="00E15DB1">
        <w:rPr>
          <w:sz w:val="24"/>
          <w:szCs w:val="24"/>
        </w:rPr>
        <w:t xml:space="preserve">Either the grant recipient or subrecipient is required to maintain documentation of eligibility for all participants in participant files in accordance with HUD and CT BOS requirements.  This agency will consult, as necessary, with grant recipients for each CoC project to determine who is responsible for maintaining this documentation. CT BOS will provide an updated Homelessness Verification form prior to January 2021.  That form will be posted to </w:t>
      </w:r>
      <w:hyperlink r:id="rId16" w:history="1">
        <w:r w:rsidR="00E15DB1" w:rsidRPr="00E15DB1">
          <w:rPr>
            <w:rStyle w:val="Hyperlink"/>
            <w:sz w:val="24"/>
            <w:szCs w:val="24"/>
          </w:rPr>
          <w:t>www.ctbos.org/resources</w:t>
        </w:r>
      </w:hyperlink>
      <w:r w:rsidR="00E15DB1" w:rsidRPr="00E15DB1">
        <w:rPr>
          <w:sz w:val="24"/>
          <w:szCs w:val="24"/>
        </w:rPr>
        <w:t>.  Eithe</w:t>
      </w:r>
      <w:r w:rsidR="003E38B5">
        <w:rPr>
          <w:sz w:val="24"/>
          <w:szCs w:val="24"/>
        </w:rPr>
        <w:t>r</w:t>
      </w:r>
      <w:r w:rsidR="00E15DB1" w:rsidRPr="00E15DB1">
        <w:rPr>
          <w:sz w:val="24"/>
          <w:szCs w:val="24"/>
        </w:rPr>
        <w:t xml:space="preserve"> the grant recipient or subrecipient will maintain a copy of that form, including all supporting documentation</w:t>
      </w:r>
      <w:r w:rsidR="00B45ED1">
        <w:rPr>
          <w:sz w:val="24"/>
          <w:szCs w:val="24"/>
        </w:rPr>
        <w:t>,</w:t>
      </w:r>
      <w:r w:rsidR="00E15DB1" w:rsidRPr="00E15DB1">
        <w:rPr>
          <w:sz w:val="24"/>
          <w:szCs w:val="24"/>
        </w:rPr>
        <w:t xml:space="preserve"> in all PSH participant files.</w:t>
      </w:r>
    </w:p>
    <w:p w14:paraId="51059F9B" w14:textId="77777777" w:rsidR="00E15DB1" w:rsidRPr="00E15DB1" w:rsidRDefault="00E15DB1" w:rsidP="002D5DC5">
      <w:pPr>
        <w:jc w:val="both"/>
        <w:rPr>
          <w:sz w:val="24"/>
          <w:szCs w:val="24"/>
        </w:rPr>
      </w:pPr>
    </w:p>
    <w:p w14:paraId="57859D85" w14:textId="3335ED94" w:rsidR="006F060E" w:rsidRPr="00E15DB1" w:rsidRDefault="00B73944" w:rsidP="002D5DC5">
      <w:pPr>
        <w:pStyle w:val="Heading2"/>
        <w:jc w:val="both"/>
        <w:rPr>
          <w:rFonts w:asciiTheme="minorHAnsi" w:hAnsiTheme="minorHAnsi"/>
          <w:sz w:val="24"/>
          <w:szCs w:val="24"/>
        </w:rPr>
      </w:pPr>
      <w:bookmarkStart w:id="11" w:name="_Toc52973333"/>
      <w:r w:rsidRPr="00E15DB1">
        <w:rPr>
          <w:rFonts w:asciiTheme="minorHAnsi" w:hAnsiTheme="minorHAnsi"/>
          <w:sz w:val="24"/>
          <w:szCs w:val="24"/>
        </w:rPr>
        <w:t xml:space="preserve">4. </w:t>
      </w:r>
      <w:r w:rsidR="006F060E" w:rsidRPr="00E15DB1">
        <w:rPr>
          <w:rFonts w:asciiTheme="minorHAnsi" w:hAnsiTheme="minorHAnsi"/>
          <w:sz w:val="24"/>
          <w:szCs w:val="24"/>
        </w:rPr>
        <w:t xml:space="preserve">Fair Market Rent for Individual Units </w:t>
      </w:r>
      <w:r w:rsidR="00632A4E" w:rsidRPr="00E15DB1">
        <w:rPr>
          <w:rFonts w:asciiTheme="minorHAnsi" w:hAnsiTheme="minorHAnsi"/>
          <w:sz w:val="24"/>
          <w:szCs w:val="24"/>
        </w:rPr>
        <w:t xml:space="preserve">(Applies to CoC </w:t>
      </w:r>
      <w:r w:rsidR="006F060E" w:rsidRPr="00E15DB1">
        <w:rPr>
          <w:rFonts w:asciiTheme="minorHAnsi" w:hAnsiTheme="minorHAnsi"/>
          <w:sz w:val="24"/>
          <w:szCs w:val="24"/>
        </w:rPr>
        <w:t xml:space="preserve">Leasing </w:t>
      </w:r>
      <w:r w:rsidR="00632A4E" w:rsidRPr="00E15DB1">
        <w:rPr>
          <w:rFonts w:asciiTheme="minorHAnsi" w:hAnsiTheme="minorHAnsi"/>
          <w:sz w:val="24"/>
          <w:szCs w:val="24"/>
        </w:rPr>
        <w:t>and ESG RRH Projects)</w:t>
      </w:r>
      <w:bookmarkEnd w:id="11"/>
    </w:p>
    <w:p w14:paraId="3BF8EA08" w14:textId="551274FE"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When grants are used to pay rent for individual housing units, the rent paid must be reasonable in relation to rents being charged for comparable units, taking into account the location, size, type, quality, amenities, facilities, and management services.  In addition, the rents may not exceed rents currently being charged for comparable units, and the rent paid may not exceed HUD-determined fair market rents.</w:t>
      </w:r>
    </w:p>
    <w:p w14:paraId="57371244" w14:textId="77777777" w:rsidR="006F060E" w:rsidRPr="00E15DB1" w:rsidRDefault="006F060E" w:rsidP="002D5DC5">
      <w:pPr>
        <w:jc w:val="both"/>
        <w:rPr>
          <w:sz w:val="24"/>
          <w:szCs w:val="24"/>
        </w:rPr>
      </w:pPr>
      <w:r w:rsidRPr="00E15DB1">
        <w:rPr>
          <w:b/>
          <w:bCs/>
          <w:sz w:val="24"/>
          <w:szCs w:val="24"/>
        </w:rPr>
        <w:t xml:space="preserve">Citation: </w:t>
      </w:r>
      <w:r w:rsidR="00BE374D" w:rsidRPr="00E15DB1">
        <w:rPr>
          <w:rFonts w:cs="Calibri"/>
          <w:sz w:val="24"/>
          <w:szCs w:val="24"/>
        </w:rPr>
        <w:t xml:space="preserve">CoC:  </w:t>
      </w:r>
      <w:r w:rsidRPr="00E15DB1">
        <w:rPr>
          <w:rFonts w:cs="Calibri"/>
          <w:sz w:val="24"/>
          <w:szCs w:val="24"/>
        </w:rPr>
        <w:t>24 CFR 578.49(b)(2)</w:t>
      </w:r>
      <w:r w:rsidR="00BE374D" w:rsidRPr="00E15DB1">
        <w:rPr>
          <w:rFonts w:cs="Calibri"/>
          <w:sz w:val="24"/>
          <w:szCs w:val="24"/>
        </w:rPr>
        <w:t>; ESG:  24 CFR 576.106(d)(1)</w:t>
      </w:r>
    </w:p>
    <w:p w14:paraId="76C4A0FA" w14:textId="77777777" w:rsidR="003D1C1D"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The CoC </w:t>
      </w:r>
      <w:r w:rsidR="00BE374D" w:rsidRPr="00E15DB1">
        <w:rPr>
          <w:sz w:val="24"/>
          <w:szCs w:val="24"/>
        </w:rPr>
        <w:t xml:space="preserve">and ESG </w:t>
      </w:r>
      <w:r w:rsidRPr="00E15DB1">
        <w:rPr>
          <w:sz w:val="24"/>
          <w:szCs w:val="24"/>
        </w:rPr>
        <w:t>regulations prohibit using leasing</w:t>
      </w:r>
      <w:r w:rsidR="00BE374D" w:rsidRPr="00E15DB1">
        <w:rPr>
          <w:sz w:val="24"/>
          <w:szCs w:val="24"/>
        </w:rPr>
        <w:t>/ESG</w:t>
      </w:r>
      <w:r w:rsidRPr="00E15DB1">
        <w:rPr>
          <w:sz w:val="24"/>
          <w:szCs w:val="24"/>
        </w:rPr>
        <w:t xml:space="preserve"> funds to assist units whose rent exceeds the applicable Fair Market Rents. The Memorandum from the Acting Assistant </w:t>
      </w:r>
      <w:r w:rsidRPr="00E15DB1">
        <w:rPr>
          <w:sz w:val="24"/>
          <w:szCs w:val="24"/>
        </w:rPr>
        <w:lastRenderedPageBreak/>
        <w:t>Secretary of Community Planning and Development (CPD) authorized the waiver of the FMR limitation.</w:t>
      </w:r>
      <w:r w:rsidR="003D1C1D" w:rsidRPr="00E15DB1">
        <w:rPr>
          <w:sz w:val="24"/>
          <w:szCs w:val="24"/>
        </w:rPr>
        <w:t xml:space="preserve"> </w:t>
      </w:r>
    </w:p>
    <w:p w14:paraId="706094B2" w14:textId="77777777" w:rsidR="006F060E" w:rsidRPr="00E15DB1" w:rsidRDefault="006F060E" w:rsidP="002D5DC5">
      <w:pPr>
        <w:jc w:val="both"/>
        <w:rPr>
          <w:sz w:val="24"/>
          <w:szCs w:val="24"/>
        </w:rPr>
      </w:pPr>
      <w:r w:rsidRPr="00E15DB1">
        <w:rPr>
          <w:b/>
          <w:bCs/>
          <w:sz w:val="24"/>
          <w:szCs w:val="24"/>
        </w:rPr>
        <w:t>Justification</w:t>
      </w:r>
      <w:r w:rsidRPr="00E15DB1">
        <w:rPr>
          <w:sz w:val="24"/>
          <w:szCs w:val="24"/>
        </w:rPr>
        <w:t>: Waiving the FMR ceiling for leasing of units under the is necessary to help program participants rapidly locate and secure housing. In the context of the epidemic it is critical that participants be able to locate and secure housing as quickly as possible.</w:t>
      </w:r>
    </w:p>
    <w:p w14:paraId="443576DC" w14:textId="38551875" w:rsidR="006F060E" w:rsidRPr="00E15DB1" w:rsidRDefault="006F060E" w:rsidP="002D5DC5">
      <w:pPr>
        <w:jc w:val="both"/>
        <w:rPr>
          <w:sz w:val="24"/>
          <w:szCs w:val="24"/>
        </w:rPr>
      </w:pPr>
      <w:r w:rsidRPr="00E15DB1">
        <w:rPr>
          <w:b/>
          <w:bCs/>
          <w:sz w:val="24"/>
          <w:szCs w:val="24"/>
        </w:rPr>
        <w:t xml:space="preserve">Time Frame: </w:t>
      </w:r>
      <w:r w:rsidRPr="00E15DB1">
        <w:rPr>
          <w:sz w:val="24"/>
          <w:szCs w:val="24"/>
        </w:rPr>
        <w:t xml:space="preserve">This shall apply to any participant seeking Continuum of Care assistance through leasing and shall remain in effect until </w:t>
      </w:r>
      <w:r w:rsidR="004D2ADF" w:rsidRPr="004D2ADF">
        <w:rPr>
          <w:color w:val="FF0000"/>
          <w:sz w:val="24"/>
          <w:szCs w:val="24"/>
        </w:rPr>
        <w:t>December</w:t>
      </w:r>
      <w:r w:rsidRPr="004D2ADF">
        <w:rPr>
          <w:color w:val="FF0000"/>
          <w:sz w:val="24"/>
          <w:szCs w:val="24"/>
        </w:rPr>
        <w:t xml:space="preserve"> 3</w:t>
      </w:r>
      <w:r w:rsidR="004D2ADF" w:rsidRPr="004D2ADF">
        <w:rPr>
          <w:color w:val="FF0000"/>
          <w:sz w:val="24"/>
          <w:szCs w:val="24"/>
        </w:rPr>
        <w:t>1</w:t>
      </w:r>
      <w:r w:rsidRPr="004D2ADF">
        <w:rPr>
          <w:color w:val="FF0000"/>
          <w:sz w:val="24"/>
          <w:szCs w:val="24"/>
        </w:rPr>
        <w:t>, 2020.</w:t>
      </w:r>
    </w:p>
    <w:p w14:paraId="521DBC0C" w14:textId="77777777" w:rsidR="00BE374D"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The recipient/subrecipient must still ensure that rent paid for individual units that are leased with CoC Program leasing dollars meet the rent reasonableness standard in 24 CFR 578.49(b)(2). </w:t>
      </w:r>
      <w:r w:rsidR="00BE374D" w:rsidRPr="00E15DB1">
        <w:rPr>
          <w:sz w:val="24"/>
          <w:szCs w:val="24"/>
        </w:rPr>
        <w:t xml:space="preserve"> This agency will lease units above FMR only as necessary.  Doing so will also help to ensure that after the waiver expires, participants can remain in their current unit without having to renegotiate the rent amount with the landlord.  The FMR waiver applies to the lease term, i.e., projects can continue to pay the higher rent for units leased during the waiver period through the end of the lease term, even if that term extends beyond the waiver period.  For example, a CoC Leasing project could continue to pay rent that exceeds FMR for a 12-month lease executed on 5/1/20 and expiring on 4/30/21.  </w:t>
      </w:r>
    </w:p>
    <w:p w14:paraId="59C4084D" w14:textId="341B58E7" w:rsidR="006F060E" w:rsidRDefault="006F060E" w:rsidP="002D5DC5">
      <w:pPr>
        <w:jc w:val="both"/>
        <w:rPr>
          <w:sz w:val="24"/>
          <w:szCs w:val="24"/>
        </w:rPr>
      </w:pPr>
      <w:r w:rsidRPr="00E15DB1">
        <w:rPr>
          <w:b/>
          <w:bCs/>
          <w:sz w:val="24"/>
          <w:szCs w:val="24"/>
        </w:rPr>
        <w:t xml:space="preserve">Documentation: </w:t>
      </w:r>
      <w:r w:rsidRPr="00E15DB1">
        <w:rPr>
          <w:sz w:val="24"/>
          <w:szCs w:val="24"/>
        </w:rPr>
        <w:t>Prior to entering into any lease for a unit assisted with leasing dollars, the recipient must determine rent reasonableness and maintain documentation that the rent was reasonable in participant files.</w:t>
      </w:r>
      <w:r w:rsidR="00BE374D" w:rsidRPr="00E15DB1">
        <w:rPr>
          <w:sz w:val="24"/>
          <w:szCs w:val="24"/>
        </w:rPr>
        <w:t xml:space="preserve"> The recipient must also maintain in participant files a copy of the lease demonstrating a start date within the waiver period.</w:t>
      </w:r>
    </w:p>
    <w:p w14:paraId="182E6B6A" w14:textId="77777777" w:rsidR="00E15DB1" w:rsidRPr="00E15DB1" w:rsidRDefault="00E15DB1" w:rsidP="002D5DC5">
      <w:pPr>
        <w:jc w:val="both"/>
        <w:rPr>
          <w:sz w:val="24"/>
          <w:szCs w:val="24"/>
        </w:rPr>
      </w:pPr>
    </w:p>
    <w:p w14:paraId="507F5A0C" w14:textId="5CFB69EC" w:rsidR="006F060E" w:rsidRPr="00E15DB1" w:rsidRDefault="00E15DB1" w:rsidP="002D5DC5">
      <w:pPr>
        <w:pStyle w:val="Heading2"/>
        <w:jc w:val="both"/>
        <w:rPr>
          <w:rFonts w:asciiTheme="minorHAnsi" w:hAnsiTheme="minorHAnsi"/>
          <w:sz w:val="24"/>
          <w:szCs w:val="24"/>
        </w:rPr>
      </w:pPr>
      <w:bookmarkStart w:id="12" w:name="_Toc52973334"/>
      <w:r>
        <w:rPr>
          <w:rFonts w:asciiTheme="minorHAnsi" w:hAnsiTheme="minorHAnsi"/>
          <w:sz w:val="24"/>
          <w:szCs w:val="24"/>
        </w:rPr>
        <w:t xml:space="preserve">5. </w:t>
      </w:r>
      <w:r w:rsidR="006F060E" w:rsidRPr="00E15DB1">
        <w:rPr>
          <w:rFonts w:asciiTheme="minorHAnsi" w:hAnsiTheme="minorHAnsi"/>
          <w:sz w:val="24"/>
          <w:szCs w:val="24"/>
        </w:rPr>
        <w:t>Disability Determination in Permanent Supportive Housing</w:t>
      </w:r>
      <w:r w:rsidR="0005523D" w:rsidRPr="00E15DB1">
        <w:rPr>
          <w:rFonts w:asciiTheme="minorHAnsi" w:hAnsiTheme="minorHAnsi"/>
          <w:sz w:val="24"/>
          <w:szCs w:val="24"/>
        </w:rPr>
        <w:t xml:space="preserve"> (Applies to CoC PSH Projects)</w:t>
      </w:r>
      <w:bookmarkEnd w:id="12"/>
    </w:p>
    <w:p w14:paraId="40AE63AA" w14:textId="222F4D83" w:rsidR="006F060E" w:rsidRPr="00E15DB1" w:rsidRDefault="006F060E" w:rsidP="002D5DC5">
      <w:pPr>
        <w:jc w:val="both"/>
        <w:rPr>
          <w:sz w:val="24"/>
          <w:szCs w:val="24"/>
        </w:rPr>
      </w:pPr>
      <w:r w:rsidRPr="00E15DB1">
        <w:rPr>
          <w:b/>
          <w:bCs/>
          <w:sz w:val="24"/>
          <w:szCs w:val="24"/>
        </w:rPr>
        <w:t>Requirement</w:t>
      </w:r>
      <w:r w:rsidRPr="00E15DB1">
        <w:rPr>
          <w:sz w:val="24"/>
          <w:szCs w:val="24"/>
        </w:rPr>
        <w:t xml:space="preserve">: A recipient providing PSH must serve individual and families where one member of the household has a qualifying disability (for </w:t>
      </w:r>
      <w:r w:rsidR="0005523D" w:rsidRPr="00E15DB1">
        <w:rPr>
          <w:sz w:val="24"/>
          <w:szCs w:val="24"/>
        </w:rPr>
        <w:t xml:space="preserve">chronic homelessness </w:t>
      </w:r>
      <w:r w:rsidRPr="00E15DB1">
        <w:rPr>
          <w:sz w:val="24"/>
          <w:szCs w:val="24"/>
        </w:rPr>
        <w:t>dedicated projects and DedicatedPlus projects that individual must be the head of household).  Further, the recipient must document a qualifying disability of one of the household members.  When documentation of disability is the intake worker’s observation, the regulation requires the recipient to obtain additional confirming evidence within 45 days.</w:t>
      </w:r>
    </w:p>
    <w:p w14:paraId="7D323A69"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578.103(a) and 24 CFR 578.103(a)(4)(i)(B)</w:t>
      </w:r>
    </w:p>
    <w:p w14:paraId="0AF7BD31"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In order to be eligible for PSH, a prospective participant must meet the HUD homeless definition and the definition of a disabled person or household. The requirement has been that the disability required third party verification including a determination by SSA or the VA, or documentary evidence submitted by licensed health professionals. Current requirements allow staff to record and observation of the disability with confirming documentation received no longer than 45 days from the application for admission. In the context of the current pandemic and the resultant unparalleled strain on the health care system, requiring documentation from </w:t>
      </w:r>
      <w:r w:rsidRPr="00E15DB1">
        <w:rPr>
          <w:sz w:val="24"/>
          <w:szCs w:val="24"/>
        </w:rPr>
        <w:lastRenderedPageBreak/>
        <w:t xml:space="preserve">health care professionals could either be difficult to obtain or inappropriately tax an already overwhelmed health care system. </w:t>
      </w:r>
    </w:p>
    <w:p w14:paraId="5D21BBC5"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 xml:space="preserve"> Temporarily removing the requirement for third party documentation will expedite the process of placing at-risk households into housing and will not burden the health care system. </w:t>
      </w:r>
    </w:p>
    <w:p w14:paraId="54CF06FA" w14:textId="6C58E91B" w:rsidR="004D2ADF" w:rsidRDefault="006F060E" w:rsidP="002D5DC5">
      <w:pPr>
        <w:jc w:val="both"/>
        <w:rPr>
          <w:rFonts w:cstheme="minorHAnsi"/>
          <w:color w:val="FF0000"/>
        </w:rPr>
      </w:pPr>
      <w:r w:rsidRPr="00E15DB1">
        <w:rPr>
          <w:b/>
          <w:bCs/>
          <w:sz w:val="24"/>
          <w:szCs w:val="24"/>
        </w:rPr>
        <w:t xml:space="preserve">Timeframe: </w:t>
      </w:r>
      <w:r w:rsidRPr="00E15DB1">
        <w:rPr>
          <w:sz w:val="24"/>
          <w:szCs w:val="24"/>
        </w:rPr>
        <w:t xml:space="preserve">This waiver will remain in effect </w:t>
      </w:r>
      <w:r w:rsidR="004D2ADF" w:rsidRPr="004D2ADF">
        <w:rPr>
          <w:rFonts w:cstheme="minorHAnsi"/>
          <w:color w:val="FF0000"/>
          <w:sz w:val="24"/>
          <w:szCs w:val="24"/>
        </w:rPr>
        <w:t>until public health officials determine no additional special measures are necessary to prevent the spread of COVID-19</w:t>
      </w:r>
    </w:p>
    <w:p w14:paraId="4EDDE0B0" w14:textId="031196B3" w:rsidR="0005523D"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 Once the waiver authority has been implemented, </w:t>
      </w:r>
      <w:r w:rsidR="0005523D" w:rsidRPr="00E15DB1">
        <w:rPr>
          <w:sz w:val="24"/>
          <w:szCs w:val="24"/>
        </w:rPr>
        <w:t xml:space="preserve"> this agency will obtain third-party disability verification using the existing </w:t>
      </w:r>
      <w:hyperlink r:id="rId17" w:history="1">
        <w:r w:rsidR="0005523D" w:rsidRPr="00E15DB1">
          <w:rPr>
            <w:rStyle w:val="Hyperlink"/>
            <w:sz w:val="24"/>
            <w:szCs w:val="24"/>
          </w:rPr>
          <w:t>CT Disabling Condition Verification Form</w:t>
        </w:r>
      </w:hyperlink>
      <w:r w:rsidR="0005523D" w:rsidRPr="00E15DB1">
        <w:rPr>
          <w:sz w:val="24"/>
          <w:szCs w:val="24"/>
        </w:rPr>
        <w:t xml:space="preserve"> prior to admission whenever feasible.  This agency will use this waiver only as necessary to ensure that applicants suspected to have a qualifying disability are not prevented from accessing PSH when third-party disability verification is not available.  For all participants for whom the above verification cannot be obtained, this agency will obtain documentation from an intake worker, case manager, CAN staff person, or referring agency staff person recording that they have observed a suspected qualifying disability. For all participants for whom neither the usual third-party disability documentation nor documentation of staff observation of a suspected qualifying disability is not immediately available, this agency will obtain a written self-certification from the individual seeking PSH assistance that they have a qualifying disability.  Such self-certification is acceptable to initiate assistance, </w:t>
      </w:r>
    </w:p>
    <w:p w14:paraId="31018D57" w14:textId="77777777" w:rsidR="0005523D" w:rsidRPr="00E15DB1" w:rsidRDefault="0005523D" w:rsidP="002D5DC5">
      <w:pPr>
        <w:jc w:val="both"/>
        <w:rPr>
          <w:sz w:val="24"/>
          <w:szCs w:val="24"/>
        </w:rPr>
      </w:pPr>
      <w:r w:rsidRPr="00E15DB1">
        <w:rPr>
          <w:sz w:val="24"/>
          <w:szCs w:val="24"/>
        </w:rPr>
        <w:t xml:space="preserve">If this agency admits a PSH participant based on self-certification or worker observation of disability it is </w:t>
      </w:r>
      <w:r w:rsidRPr="00E15DB1">
        <w:rPr>
          <w:b/>
          <w:bCs/>
          <w:sz w:val="24"/>
          <w:szCs w:val="24"/>
        </w:rPr>
        <w:t xml:space="preserve">NOT </w:t>
      </w:r>
      <w:r w:rsidRPr="00E15DB1">
        <w:rPr>
          <w:sz w:val="24"/>
          <w:szCs w:val="24"/>
        </w:rPr>
        <w:t>required to obtain third-party verification once the crisis is over.  When admitting a participant based on self-certification, this agency will obtain worker observation of disability as soon as feasible. The requirements described above pertain to both individuals and families.</w:t>
      </w:r>
    </w:p>
    <w:p w14:paraId="23980E6F" w14:textId="77777777" w:rsidR="006F060E" w:rsidRPr="00E15DB1" w:rsidRDefault="006F060E" w:rsidP="002D5DC5">
      <w:pPr>
        <w:jc w:val="both"/>
        <w:rPr>
          <w:sz w:val="24"/>
          <w:szCs w:val="24"/>
        </w:rPr>
      </w:pPr>
      <w:r w:rsidRPr="00E15DB1">
        <w:rPr>
          <w:b/>
          <w:bCs/>
          <w:sz w:val="24"/>
          <w:szCs w:val="24"/>
        </w:rPr>
        <w:t xml:space="preserve">Documentation: </w:t>
      </w:r>
      <w:r w:rsidRPr="00E15DB1">
        <w:rPr>
          <w:sz w:val="24"/>
          <w:szCs w:val="24"/>
        </w:rPr>
        <w:t xml:space="preserve"> For all households receiving PSH, there must be documentation of disability in the participant/household file. Acceptable documentation includes written evidence that the participant is receiving disability benefits from another federal agency. Third party verification from a licensed medical professional is also acceptable provided that the medical provider is attesting to a condition that he/she is licensed to diagnose and treat. During the duration of this waiver, </w:t>
      </w:r>
      <w:r w:rsidR="009B57F7" w:rsidRPr="00E15DB1">
        <w:rPr>
          <w:sz w:val="24"/>
          <w:szCs w:val="24"/>
        </w:rPr>
        <w:t xml:space="preserve">written self-certification from the individual seeking Permanent Supportive Housing (PSH) assistance that they have a qualifying disability is acceptable to initiate assistance, while the usual third-party or staff observation documentation is obtained. </w:t>
      </w:r>
      <w:r w:rsidR="009B57F7" w:rsidRPr="00E15DB1">
        <w:rPr>
          <w:rFonts w:cstheme="minorHAnsi"/>
          <w:sz w:val="24"/>
          <w:szCs w:val="24"/>
        </w:rPr>
        <w:t xml:space="preserve">When use of the </w:t>
      </w:r>
      <w:r w:rsidR="009B57F7" w:rsidRPr="00E15DB1">
        <w:rPr>
          <w:sz w:val="24"/>
          <w:szCs w:val="24"/>
        </w:rPr>
        <w:t xml:space="preserve">existing </w:t>
      </w:r>
      <w:hyperlink r:id="rId18" w:history="1">
        <w:r w:rsidR="009B57F7" w:rsidRPr="00E15DB1">
          <w:rPr>
            <w:rStyle w:val="Hyperlink"/>
            <w:sz w:val="24"/>
            <w:szCs w:val="24"/>
          </w:rPr>
          <w:t>CT Disabling Condition Verification Form</w:t>
        </w:r>
      </w:hyperlink>
      <w:r w:rsidR="009B57F7" w:rsidRPr="00E15DB1">
        <w:rPr>
          <w:sz w:val="24"/>
          <w:szCs w:val="24"/>
        </w:rPr>
        <w:t xml:space="preserve"> is not feasible, this agency will</w:t>
      </w:r>
      <w:r w:rsidR="009B57F7" w:rsidRPr="00E15DB1">
        <w:rPr>
          <w:rFonts w:cstheme="minorHAnsi"/>
          <w:sz w:val="24"/>
          <w:szCs w:val="24"/>
        </w:rPr>
        <w:t xml:space="preserve"> use the </w:t>
      </w:r>
      <w:hyperlink r:id="rId19" w:history="1">
        <w:r w:rsidR="009B57F7" w:rsidRPr="00E15DB1">
          <w:rPr>
            <w:rStyle w:val="Hyperlink"/>
            <w:rFonts w:cstheme="minorHAnsi"/>
            <w:sz w:val="24"/>
            <w:szCs w:val="24"/>
          </w:rPr>
          <w:t xml:space="preserve">CT Disabling Condition Form with COVID-19 Waiver Option. </w:t>
        </w:r>
      </w:hyperlink>
      <w:r w:rsidR="009B57F7" w:rsidRPr="00E15DB1">
        <w:rPr>
          <w:rFonts w:cstheme="minorHAnsi"/>
          <w:sz w:val="24"/>
          <w:szCs w:val="24"/>
        </w:rPr>
        <w:t xml:space="preserve"> </w:t>
      </w:r>
    </w:p>
    <w:p w14:paraId="402FC2D4" w14:textId="77777777" w:rsidR="00E15DB1" w:rsidRDefault="00E15DB1" w:rsidP="002D5DC5">
      <w:pPr>
        <w:pStyle w:val="Heading2"/>
        <w:jc w:val="both"/>
        <w:rPr>
          <w:rFonts w:asciiTheme="minorHAnsi" w:hAnsiTheme="minorHAnsi"/>
          <w:sz w:val="24"/>
          <w:szCs w:val="24"/>
        </w:rPr>
      </w:pPr>
    </w:p>
    <w:p w14:paraId="1B6E8B46" w14:textId="7F6FE9B3" w:rsidR="006F060E" w:rsidRPr="00E15DB1" w:rsidRDefault="00E15DB1" w:rsidP="002D5DC5">
      <w:pPr>
        <w:pStyle w:val="Heading2"/>
        <w:jc w:val="both"/>
        <w:rPr>
          <w:rFonts w:asciiTheme="minorHAnsi" w:hAnsiTheme="minorHAnsi"/>
          <w:sz w:val="24"/>
          <w:szCs w:val="24"/>
        </w:rPr>
      </w:pPr>
      <w:bookmarkStart w:id="13" w:name="_Toc52973335"/>
      <w:r>
        <w:rPr>
          <w:rFonts w:asciiTheme="minorHAnsi" w:hAnsiTheme="minorHAnsi"/>
          <w:sz w:val="24"/>
          <w:szCs w:val="24"/>
        </w:rPr>
        <w:t xml:space="preserve">6. </w:t>
      </w:r>
      <w:r w:rsidR="006F060E" w:rsidRPr="00E15DB1">
        <w:rPr>
          <w:rFonts w:asciiTheme="minorHAnsi" w:hAnsiTheme="minorHAnsi"/>
          <w:sz w:val="24"/>
          <w:szCs w:val="24"/>
        </w:rPr>
        <w:t xml:space="preserve">Limit on Eligible Housing Search and Counseling Services </w:t>
      </w:r>
      <w:r w:rsidR="009B57F7" w:rsidRPr="00E15DB1">
        <w:rPr>
          <w:rFonts w:asciiTheme="minorHAnsi" w:hAnsiTheme="minorHAnsi"/>
          <w:sz w:val="24"/>
          <w:szCs w:val="24"/>
        </w:rPr>
        <w:t>(Applicable to CoC projects with a Supportive Services Budget Line Item)</w:t>
      </w:r>
      <w:bookmarkEnd w:id="13"/>
    </w:p>
    <w:p w14:paraId="7AE1B2D3"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 xml:space="preserve">Under the interim rule (24 CFR 578.53(ed)(8)(ii)(B)) only the costs of credit counseling, accessing a free personal credit report, and resolving personal credit issues are the only means to address a program participant’s debts. </w:t>
      </w:r>
    </w:p>
    <w:p w14:paraId="3F9643E9"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 xml:space="preserve">   24 CFR 578.53(e)(8)(ii)(B) and 578.53(d)</w:t>
      </w:r>
    </w:p>
    <w:p w14:paraId="02B813D8" w14:textId="758AC2B3"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24 CFR 578.53(e)(8) allows recipients and subrecipients to use CoC funds to pay for housing search and counseling services to help eligible program participants locate, obtain, and retain suitable housing.  For program participants whose debt problems make it difficult to obtain </w:t>
      </w:r>
      <w:r w:rsidR="003E38B5" w:rsidRPr="00E15DB1">
        <w:rPr>
          <w:sz w:val="24"/>
          <w:szCs w:val="24"/>
        </w:rPr>
        <w:t>housing, 24</w:t>
      </w:r>
      <w:r w:rsidRPr="00E15DB1">
        <w:rPr>
          <w:sz w:val="24"/>
          <w:szCs w:val="24"/>
        </w:rPr>
        <w:t xml:space="preserve"> CFR 578.53(e)(8)(ii)(B) makes eligible the costs of credit counseling, accessing a free personal credit report, and resolving personal credit issues.  However, payment of rental or utility arrears is not included as an eligible cost.  24 CFR 578.53(d) limits eligible supportive service costs to those explicitly listed in 24 CFR 578.53(e), which is a more limited list than is eligible under the McKinney-Vento Act.</w:t>
      </w:r>
    </w:p>
    <w:p w14:paraId="6ADE02E8"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 xml:space="preserve">Rapidly accessing housing will help reduce the spread and harm of COVID-19 among a vulnerable population. Prior debts for rental and utility payments can present a barrier to quickly accessing housing. </w:t>
      </w:r>
    </w:p>
    <w:p w14:paraId="62227C63"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Upon the implementation of this waiver and until March 3</w:t>
      </w:r>
      <w:r w:rsidR="00DF5DC5" w:rsidRPr="00E15DB1">
        <w:rPr>
          <w:sz w:val="24"/>
          <w:szCs w:val="24"/>
        </w:rPr>
        <w:t>1</w:t>
      </w:r>
      <w:r w:rsidRPr="00E15DB1">
        <w:rPr>
          <w:sz w:val="24"/>
          <w:szCs w:val="24"/>
        </w:rPr>
        <w:t>, 2021 CoC Program funds may be used for up to 6 months of a program participant’s utility arrears and up to 6 months of program participant’s rent arrears, when those arrears make it difficult to obtain housing.</w:t>
      </w:r>
    </w:p>
    <w:p w14:paraId="600AC757" w14:textId="77777777"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 When participants in CoC funded programs have difficulty in obtaining housing and the difficulty is related to rent or utility arrearages, CoC funds may be used to pay for up to six months of rent arrears and six months of utility arrears. This is only permitted when the missed payments result in difficulty in obtaining housing. “Difficulty in obtaining housing” means that a property owner has informed the participant that because of the past rent or utility nonpayment, the owner is not willing to rent to the participant or the public utility will not provide utility service to the participant as a result of unpaid prior bills. When this barrier to obtaining housing has been documented, the agency may make payments totaling six months of rent and/or utilities. These payments must be made directly to the vendor to the payment is owed and not paid to program participants. </w:t>
      </w:r>
    </w:p>
    <w:p w14:paraId="188E4B98" w14:textId="0365723C" w:rsidR="006F060E" w:rsidRDefault="006F060E" w:rsidP="002D5DC5">
      <w:pPr>
        <w:jc w:val="both"/>
        <w:rPr>
          <w:sz w:val="24"/>
          <w:szCs w:val="24"/>
        </w:rPr>
      </w:pPr>
      <w:r w:rsidRPr="00E15DB1">
        <w:rPr>
          <w:b/>
          <w:bCs/>
          <w:sz w:val="24"/>
          <w:szCs w:val="24"/>
        </w:rPr>
        <w:t xml:space="preserve">Documentation: </w:t>
      </w:r>
      <w:r w:rsidRPr="00E15DB1">
        <w:rPr>
          <w:sz w:val="24"/>
          <w:szCs w:val="24"/>
        </w:rPr>
        <w:t xml:space="preserve"> When this waiver is utilized, the agency must document in the participant file that the participant experienced ‘difficulty obtaining housing’ as a result of unpaid rent and utility bills. The documentation must show that the total of these payments made by the CoC program do not exceed six months of rent or utility payments</w:t>
      </w:r>
      <w:r w:rsidR="00DF5DC5" w:rsidRPr="00E15DB1">
        <w:rPr>
          <w:sz w:val="24"/>
          <w:szCs w:val="24"/>
        </w:rPr>
        <w:t xml:space="preserve"> and that the cost was incurred during the authorized waiver period.</w:t>
      </w:r>
    </w:p>
    <w:p w14:paraId="65DC14FA" w14:textId="77777777" w:rsidR="00E15DB1" w:rsidRPr="00E15DB1" w:rsidRDefault="00E15DB1" w:rsidP="002D5DC5">
      <w:pPr>
        <w:jc w:val="both"/>
        <w:rPr>
          <w:sz w:val="24"/>
          <w:szCs w:val="24"/>
        </w:rPr>
      </w:pPr>
    </w:p>
    <w:p w14:paraId="25F6CAC8" w14:textId="2EA1E4A2" w:rsidR="006F060E" w:rsidRPr="00E15DB1" w:rsidRDefault="00E15DB1" w:rsidP="002D5DC5">
      <w:pPr>
        <w:pStyle w:val="Heading2"/>
        <w:jc w:val="both"/>
        <w:rPr>
          <w:rFonts w:asciiTheme="minorHAnsi" w:hAnsiTheme="minorHAnsi"/>
          <w:sz w:val="24"/>
          <w:szCs w:val="24"/>
        </w:rPr>
      </w:pPr>
      <w:bookmarkStart w:id="14" w:name="_Toc52973336"/>
      <w:r>
        <w:rPr>
          <w:rFonts w:asciiTheme="minorHAnsi" w:hAnsiTheme="minorHAnsi"/>
          <w:sz w:val="24"/>
          <w:szCs w:val="24"/>
        </w:rPr>
        <w:lastRenderedPageBreak/>
        <w:t xml:space="preserve">7. </w:t>
      </w:r>
      <w:r w:rsidR="006F060E" w:rsidRPr="00E15DB1">
        <w:rPr>
          <w:rFonts w:asciiTheme="minorHAnsi" w:hAnsiTheme="minorHAnsi"/>
          <w:sz w:val="24"/>
          <w:szCs w:val="24"/>
        </w:rPr>
        <w:t>Permanent Housing-Rapid Re-housing Monthly Case Management</w:t>
      </w:r>
      <w:r w:rsidR="00DF5DC5" w:rsidRPr="00E15DB1">
        <w:rPr>
          <w:rFonts w:asciiTheme="minorHAnsi" w:hAnsiTheme="minorHAnsi"/>
          <w:sz w:val="24"/>
          <w:szCs w:val="24"/>
        </w:rPr>
        <w:t xml:space="preserve"> (Applies to CoC and ESG RRH)</w:t>
      </w:r>
      <w:bookmarkEnd w:id="14"/>
    </w:p>
    <w:p w14:paraId="07CE15DA" w14:textId="29F3A2A0" w:rsidR="006F060E" w:rsidRPr="004D2ADF" w:rsidRDefault="006F060E" w:rsidP="002D5DC5">
      <w:pPr>
        <w:jc w:val="both"/>
        <w:rPr>
          <w:color w:val="000000" w:themeColor="text1"/>
          <w:sz w:val="24"/>
          <w:szCs w:val="24"/>
        </w:rPr>
      </w:pPr>
      <w:r w:rsidRPr="00E15DB1">
        <w:rPr>
          <w:b/>
          <w:bCs/>
          <w:color w:val="000000" w:themeColor="text1"/>
          <w:sz w:val="24"/>
          <w:szCs w:val="24"/>
        </w:rPr>
        <w:t xml:space="preserve">Requirement: </w:t>
      </w:r>
      <w:r w:rsidRPr="00E15DB1">
        <w:rPr>
          <w:color w:val="000000" w:themeColor="text1"/>
          <w:sz w:val="24"/>
          <w:szCs w:val="24"/>
        </w:rPr>
        <w:t>Recipients must require program participants of permanent housing – rapid re-housing projects to meet with a case manager at least monthly.</w:t>
      </w:r>
      <w:r w:rsidR="003E6482" w:rsidRPr="00E15DB1">
        <w:rPr>
          <w:color w:val="000000" w:themeColor="text1"/>
          <w:sz w:val="24"/>
          <w:szCs w:val="24"/>
        </w:rPr>
        <w:t xml:space="preserve"> </w:t>
      </w:r>
      <w:r w:rsidR="003E6482" w:rsidRPr="00E15DB1">
        <w:rPr>
          <w:rFonts w:cs="Calibri"/>
          <w:color w:val="000000" w:themeColor="text1"/>
          <w:sz w:val="24"/>
          <w:szCs w:val="24"/>
        </w:rPr>
        <w:t>The CARES Act prohibits requiring people experiencing homelessness to perform prerequisite activities as a condition for receiving shelter, housing, or other services funded through CARES Act ESG grants.  As such,</w:t>
      </w:r>
      <w:r w:rsidR="003E6482" w:rsidRPr="00E15DB1">
        <w:rPr>
          <w:rStyle w:val="apple-converted-space"/>
          <w:rFonts w:cs="Calibri"/>
          <w:color w:val="000000" w:themeColor="text1"/>
          <w:sz w:val="24"/>
          <w:szCs w:val="24"/>
        </w:rPr>
        <w:t> </w:t>
      </w:r>
      <w:r w:rsidR="003E6482" w:rsidRPr="00E15DB1">
        <w:rPr>
          <w:rFonts w:cs="Calibri"/>
          <w:color w:val="000000" w:themeColor="text1"/>
          <w:sz w:val="24"/>
          <w:szCs w:val="24"/>
        </w:rPr>
        <w:t>CARES Act ESG prevention and RRH projects may not require people who qualified as homeless at the start of that assistance to meet with a case manager at least monthly.</w:t>
      </w:r>
    </w:p>
    <w:p w14:paraId="082912B5" w14:textId="77777777" w:rsidR="006F060E" w:rsidRPr="00E15DB1" w:rsidRDefault="006F060E" w:rsidP="002D5DC5">
      <w:pPr>
        <w:jc w:val="both"/>
        <w:rPr>
          <w:sz w:val="24"/>
          <w:szCs w:val="24"/>
        </w:rPr>
      </w:pPr>
      <w:r w:rsidRPr="00E15DB1">
        <w:rPr>
          <w:b/>
          <w:bCs/>
          <w:sz w:val="24"/>
          <w:szCs w:val="24"/>
        </w:rPr>
        <w:t xml:space="preserve">Citation:  </w:t>
      </w:r>
      <w:r w:rsidR="00DF5DC5" w:rsidRPr="00E15DB1">
        <w:rPr>
          <w:sz w:val="24"/>
          <w:szCs w:val="24"/>
        </w:rPr>
        <w:t xml:space="preserve">CoC - </w:t>
      </w:r>
      <w:r w:rsidRPr="00E15DB1">
        <w:rPr>
          <w:sz w:val="24"/>
          <w:szCs w:val="24"/>
        </w:rPr>
        <w:t>24 CFR 578.37(a)(1)(ii)(F)</w:t>
      </w:r>
      <w:r w:rsidR="00DF5DC5" w:rsidRPr="00E15DB1">
        <w:rPr>
          <w:sz w:val="24"/>
          <w:szCs w:val="24"/>
        </w:rPr>
        <w:t xml:space="preserve">; </w:t>
      </w:r>
      <w:r w:rsidR="00DF5DC5" w:rsidRPr="00E15DB1">
        <w:rPr>
          <w:rFonts w:cs="Calibri"/>
          <w:sz w:val="24"/>
          <w:szCs w:val="24"/>
        </w:rPr>
        <w:t>ESG - 24 CFR 576.401(e)</w:t>
      </w:r>
    </w:p>
    <w:p w14:paraId="2ABF5A4F"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The CoC </w:t>
      </w:r>
      <w:r w:rsidR="00404693" w:rsidRPr="00E15DB1">
        <w:rPr>
          <w:sz w:val="24"/>
          <w:szCs w:val="24"/>
        </w:rPr>
        <w:t>and ESG regulations</w:t>
      </w:r>
      <w:r w:rsidRPr="00E15DB1">
        <w:rPr>
          <w:sz w:val="24"/>
          <w:szCs w:val="24"/>
        </w:rPr>
        <w:t xml:space="preserve"> require program participants to meet with a case manager not less than once per month to assist them in ensuring long-term housing stability. </w:t>
      </w:r>
    </w:p>
    <w:p w14:paraId="09F85727"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 xml:space="preserve">Meeting the requirement to provide monthly case management has been made challenging by the COVID-19 pandemic. </w:t>
      </w:r>
      <w:r w:rsidR="00404693" w:rsidRPr="00E15DB1">
        <w:rPr>
          <w:sz w:val="24"/>
          <w:szCs w:val="24"/>
        </w:rPr>
        <w:t>This agency has</w:t>
      </w:r>
      <w:r w:rsidRPr="00E15DB1">
        <w:rPr>
          <w:sz w:val="24"/>
          <w:szCs w:val="24"/>
        </w:rPr>
        <w:t xml:space="preserve"> limited staff capacity as staff are home for a range of reasons related to the epidemic (quarantining, children home from school, or working on other urgent epidemic related matters). Additionally, not all participants are able to meet via phone or internet – often due to lack of access. Waiving the monthly case management requirement as specified below will allow recipients to provide case management on an as needed basis and reduce the possible spread and harm of COVID-19.</w:t>
      </w:r>
    </w:p>
    <w:p w14:paraId="17342D77" w14:textId="5647E339"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Th</w:t>
      </w:r>
      <w:r w:rsidR="00404693" w:rsidRPr="00E15DB1">
        <w:rPr>
          <w:sz w:val="24"/>
          <w:szCs w:val="24"/>
        </w:rPr>
        <w:t xml:space="preserve">e </w:t>
      </w:r>
      <w:r w:rsidRPr="00E15DB1">
        <w:rPr>
          <w:sz w:val="24"/>
          <w:szCs w:val="24"/>
        </w:rPr>
        <w:t xml:space="preserve">requirement to meet with case mangers not less than once per month is waived for all permanent housing- rapid re-housing projects </w:t>
      </w:r>
      <w:r w:rsidR="003E6482" w:rsidRPr="00E15DB1">
        <w:rPr>
          <w:sz w:val="24"/>
          <w:szCs w:val="24"/>
        </w:rPr>
        <w:t xml:space="preserve">until </w:t>
      </w:r>
      <w:r w:rsidR="004D2ADF">
        <w:rPr>
          <w:sz w:val="24"/>
          <w:szCs w:val="24"/>
        </w:rPr>
        <w:t>12/31</w:t>
      </w:r>
      <w:r w:rsidR="003E6482" w:rsidRPr="00E15DB1">
        <w:rPr>
          <w:sz w:val="24"/>
          <w:szCs w:val="24"/>
        </w:rPr>
        <w:t>/</w:t>
      </w:r>
      <w:proofErr w:type="gramStart"/>
      <w:r w:rsidR="003E6482" w:rsidRPr="00E15DB1">
        <w:rPr>
          <w:sz w:val="24"/>
          <w:szCs w:val="24"/>
        </w:rPr>
        <w:t xml:space="preserve">20 </w:t>
      </w:r>
      <w:r w:rsidRPr="00E15DB1">
        <w:rPr>
          <w:sz w:val="24"/>
          <w:szCs w:val="24"/>
        </w:rPr>
        <w:t>.</w:t>
      </w:r>
      <w:proofErr w:type="gramEnd"/>
    </w:p>
    <w:p w14:paraId="47C0EDD8" w14:textId="46D050D5"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The requirement for monthly case management contact is waived for the period specified. However, whenever possible case managers are expected to try and contact participants using remote technology including phone calls, video chats, and email communication. </w:t>
      </w:r>
      <w:r w:rsidR="00835B1F">
        <w:rPr>
          <w:sz w:val="24"/>
          <w:szCs w:val="24"/>
        </w:rPr>
        <w:t xml:space="preserve">In-person communication can also occur in outdoor areas, practicing physical distancing and using protective face masks. </w:t>
      </w:r>
      <w:r w:rsidRPr="00E15DB1">
        <w:rPr>
          <w:sz w:val="24"/>
          <w:szCs w:val="24"/>
        </w:rPr>
        <w:t>When such communication is not possible, this waiver will relieve the grantee of the monthly case management contact.</w:t>
      </w:r>
    </w:p>
    <w:p w14:paraId="4F715979" w14:textId="3500E95B" w:rsidR="006F060E" w:rsidRDefault="006F060E" w:rsidP="002D5DC5">
      <w:pPr>
        <w:jc w:val="both"/>
        <w:rPr>
          <w:sz w:val="24"/>
          <w:szCs w:val="24"/>
        </w:rPr>
      </w:pPr>
      <w:r w:rsidRPr="00E15DB1">
        <w:rPr>
          <w:b/>
          <w:bCs/>
          <w:sz w:val="24"/>
          <w:szCs w:val="24"/>
        </w:rPr>
        <w:t xml:space="preserve">Documentation: </w:t>
      </w:r>
      <w:r w:rsidRPr="00E15DB1">
        <w:rPr>
          <w:sz w:val="24"/>
          <w:szCs w:val="24"/>
        </w:rPr>
        <w:t>The case manager shall note in the participant file efforts to contact the participant including date, time and means of attempted contact. If the case manager succeeds in contacting the participant, notes regarding the contact should be maintained in the participant file. If the case manager is not successful in reaching the participant, the efforts to contact should be noted in the participant’s file along with an indication that the monthly contact waiver is being exercised because of an inability to contact the participant.</w:t>
      </w:r>
    </w:p>
    <w:p w14:paraId="7F05250B" w14:textId="77777777" w:rsidR="00E15DB1" w:rsidRPr="00E15DB1" w:rsidRDefault="00E15DB1" w:rsidP="002D5DC5">
      <w:pPr>
        <w:jc w:val="both"/>
        <w:rPr>
          <w:sz w:val="24"/>
          <w:szCs w:val="24"/>
        </w:rPr>
      </w:pPr>
    </w:p>
    <w:p w14:paraId="4A826746" w14:textId="34B8EA4A" w:rsidR="006F060E" w:rsidRPr="00E15DB1" w:rsidRDefault="00E15DB1" w:rsidP="002D5DC5">
      <w:pPr>
        <w:pStyle w:val="Heading2"/>
        <w:jc w:val="both"/>
        <w:rPr>
          <w:rFonts w:asciiTheme="minorHAnsi" w:hAnsiTheme="minorHAnsi"/>
          <w:sz w:val="24"/>
          <w:szCs w:val="24"/>
        </w:rPr>
      </w:pPr>
      <w:bookmarkStart w:id="15" w:name="_Toc52973337"/>
      <w:r>
        <w:rPr>
          <w:rFonts w:asciiTheme="minorHAnsi" w:hAnsiTheme="minorHAnsi"/>
          <w:sz w:val="24"/>
          <w:szCs w:val="24"/>
        </w:rPr>
        <w:t xml:space="preserve">8. </w:t>
      </w:r>
      <w:r w:rsidR="006F060E" w:rsidRPr="00E15DB1">
        <w:rPr>
          <w:rFonts w:asciiTheme="minorHAnsi" w:hAnsiTheme="minorHAnsi"/>
          <w:sz w:val="24"/>
          <w:szCs w:val="24"/>
        </w:rPr>
        <w:t>Housing Quality Standards (HQS) Initial Inspection of Unit</w:t>
      </w:r>
      <w:r w:rsidR="00404693" w:rsidRPr="00E15DB1">
        <w:rPr>
          <w:rFonts w:asciiTheme="minorHAnsi" w:hAnsiTheme="minorHAnsi"/>
          <w:sz w:val="24"/>
          <w:szCs w:val="24"/>
        </w:rPr>
        <w:t xml:space="preserve"> (Applies to ESG RRH projects and CoC projects with Leasing or Rental Assistance Budget Line Items)</w:t>
      </w:r>
      <w:bookmarkEnd w:id="15"/>
    </w:p>
    <w:p w14:paraId="07C0CCFD"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 xml:space="preserve">Recipients are required to physically inspect any </w:t>
      </w:r>
      <w:r w:rsidR="00404693" w:rsidRPr="00E15DB1">
        <w:rPr>
          <w:sz w:val="24"/>
          <w:szCs w:val="24"/>
        </w:rPr>
        <w:t xml:space="preserve">CoC </w:t>
      </w:r>
      <w:r w:rsidRPr="00E15DB1">
        <w:rPr>
          <w:sz w:val="24"/>
          <w:szCs w:val="24"/>
        </w:rPr>
        <w:t xml:space="preserve">unit supported with leasing or rental assistance funds to assure that the unit meets housing quality standards (HQS) before </w:t>
      </w:r>
      <w:r w:rsidRPr="00E15DB1">
        <w:rPr>
          <w:sz w:val="24"/>
          <w:szCs w:val="24"/>
        </w:rPr>
        <w:lastRenderedPageBreak/>
        <w:t>any assistance will be provided on behalf of a program participant.</w:t>
      </w:r>
      <w:r w:rsidR="00404693" w:rsidRPr="00E15DB1">
        <w:rPr>
          <w:sz w:val="24"/>
          <w:szCs w:val="24"/>
        </w:rPr>
        <w:t xml:space="preserve"> CT DOH also requires this for ESG RRH projects.</w:t>
      </w:r>
    </w:p>
    <w:p w14:paraId="0A84B040"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578.75(b)(1)</w:t>
      </w:r>
      <w:r w:rsidR="00404693" w:rsidRPr="00E15DB1">
        <w:rPr>
          <w:sz w:val="24"/>
          <w:szCs w:val="24"/>
        </w:rPr>
        <w:t>; CT Statewide RRH Guidelines</w:t>
      </w:r>
    </w:p>
    <w:p w14:paraId="1F6A2C6B" w14:textId="77777777" w:rsidR="006F060E" w:rsidRPr="00E15DB1" w:rsidRDefault="006F060E" w:rsidP="002D5DC5">
      <w:pPr>
        <w:jc w:val="both"/>
        <w:rPr>
          <w:sz w:val="24"/>
          <w:szCs w:val="24"/>
        </w:rPr>
      </w:pPr>
      <w:r w:rsidRPr="00E15DB1">
        <w:rPr>
          <w:b/>
          <w:bCs/>
          <w:sz w:val="24"/>
          <w:szCs w:val="24"/>
        </w:rPr>
        <w:t>Explanation:</w:t>
      </w:r>
      <w:r w:rsidRPr="00E15DB1">
        <w:rPr>
          <w:sz w:val="24"/>
          <w:szCs w:val="24"/>
        </w:rPr>
        <w:t xml:space="preserve"> In order to assure that program participants access decent, safe, and sanitary housing, the CoC </w:t>
      </w:r>
      <w:r w:rsidR="00404693" w:rsidRPr="00E15DB1">
        <w:rPr>
          <w:sz w:val="24"/>
          <w:szCs w:val="24"/>
        </w:rPr>
        <w:t>and CT ESG RRH pro</w:t>
      </w:r>
      <w:r w:rsidR="005A35FB" w:rsidRPr="00E15DB1">
        <w:rPr>
          <w:sz w:val="24"/>
          <w:szCs w:val="24"/>
        </w:rPr>
        <w:t>g</w:t>
      </w:r>
      <w:r w:rsidR="00404693" w:rsidRPr="00E15DB1">
        <w:rPr>
          <w:sz w:val="24"/>
          <w:szCs w:val="24"/>
        </w:rPr>
        <w:t xml:space="preserve">rams </w:t>
      </w:r>
      <w:r w:rsidRPr="00E15DB1">
        <w:rPr>
          <w:sz w:val="24"/>
          <w:szCs w:val="24"/>
        </w:rPr>
        <w:t xml:space="preserve">require that all units be inspected using HQS before any assistance will be provided for that unit on behalf of a program participant. </w:t>
      </w:r>
    </w:p>
    <w:p w14:paraId="4736BBF1"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Sending program staff into the community to conduct HQS has the potential to create COVID-19 exposure opportunities. Additionally, stay-at-home orders in some jurisdictions may prevent staff from being able to conduct HQS. Reducing exposure to and preventing the spread of COVID-19 are important public health goals.</w:t>
      </w:r>
    </w:p>
    <w:p w14:paraId="19D4F9CD" w14:textId="63D248B2"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 xml:space="preserve">The requirement for an in-person HQS inspection is waived until </w:t>
      </w:r>
      <w:r w:rsidR="00213038" w:rsidRPr="00ED66A5">
        <w:rPr>
          <w:color w:val="FF0000"/>
          <w:sz w:val="24"/>
          <w:szCs w:val="24"/>
        </w:rPr>
        <w:t>12</w:t>
      </w:r>
      <w:r w:rsidR="00404693" w:rsidRPr="00ED66A5">
        <w:rPr>
          <w:color w:val="FF0000"/>
          <w:sz w:val="24"/>
          <w:szCs w:val="24"/>
        </w:rPr>
        <w:t>/31/21</w:t>
      </w:r>
      <w:r w:rsidRPr="00E15DB1">
        <w:rPr>
          <w:sz w:val="24"/>
          <w:szCs w:val="24"/>
        </w:rPr>
        <w:t>. During this period, grantees must</w:t>
      </w:r>
      <w:r w:rsidR="00213038">
        <w:rPr>
          <w:sz w:val="24"/>
          <w:szCs w:val="24"/>
        </w:rPr>
        <w:t>,</w:t>
      </w:r>
      <w:r w:rsidRPr="00E15DB1">
        <w:rPr>
          <w:sz w:val="24"/>
          <w:szCs w:val="24"/>
        </w:rPr>
        <w:t xml:space="preserve"> </w:t>
      </w:r>
      <w:r w:rsidR="00213038" w:rsidRPr="00ED66A5">
        <w:rPr>
          <w:color w:val="FF0000"/>
          <w:sz w:val="24"/>
          <w:szCs w:val="24"/>
        </w:rPr>
        <w:t>when feasible</w:t>
      </w:r>
      <w:r w:rsidR="00213038">
        <w:rPr>
          <w:sz w:val="24"/>
          <w:szCs w:val="24"/>
        </w:rPr>
        <w:t xml:space="preserve">, </w:t>
      </w:r>
      <w:r w:rsidRPr="00E15DB1">
        <w:rPr>
          <w:sz w:val="24"/>
          <w:szCs w:val="24"/>
        </w:rPr>
        <w:t>conduct alternative, remote inspections as indicated below, and must physically reinspect when it is safe to do so.</w:t>
      </w:r>
    </w:p>
    <w:p w14:paraId="1A7FDA82" w14:textId="5185548B" w:rsidR="00363CEB" w:rsidRDefault="006F060E" w:rsidP="002D5DC5">
      <w:pPr>
        <w:jc w:val="both"/>
        <w:rPr>
          <w:sz w:val="24"/>
          <w:szCs w:val="24"/>
        </w:rPr>
      </w:pPr>
      <w:r w:rsidRPr="00E15DB1">
        <w:rPr>
          <w:b/>
          <w:bCs/>
          <w:sz w:val="24"/>
          <w:szCs w:val="24"/>
        </w:rPr>
        <w:t xml:space="preserve">Procedure: </w:t>
      </w:r>
      <w:r w:rsidR="00363CEB" w:rsidRPr="00E15DB1">
        <w:rPr>
          <w:sz w:val="24"/>
          <w:szCs w:val="24"/>
        </w:rPr>
        <w:t xml:space="preserve">This agency has changed its requirements for an initial physical inspection to determine conformity with HUD Housing Quality Standards (HQS) for all units assisted with CoC leasing or rental assistance and for ESG RRH projects. In order to protect the health and well-being of program staff, staff will not be required to physically inspect units. However, </w:t>
      </w:r>
      <w:r w:rsidR="00213038" w:rsidRPr="00ED66A5">
        <w:rPr>
          <w:color w:val="FF0000"/>
          <w:sz w:val="24"/>
          <w:szCs w:val="24"/>
        </w:rPr>
        <w:t>as determined feasible by an authorized program manager</w:t>
      </w:r>
      <w:r w:rsidR="00213038">
        <w:rPr>
          <w:sz w:val="24"/>
          <w:szCs w:val="24"/>
        </w:rPr>
        <w:t xml:space="preserve">, </w:t>
      </w:r>
      <w:r w:rsidR="00363CEB" w:rsidRPr="00E15DB1">
        <w:rPr>
          <w:sz w:val="24"/>
          <w:szCs w:val="24"/>
        </w:rPr>
        <w:t>no leasing or rental assistance shall be provided for any unit until such time as the recipient, sub-recipient, or contractor has been able to conduct an initial visual inspection of the unit using remote technology such as video streaming to include video conference or chat using such platforms as Facetime, Google Duo, Skype or Zoom that allow both parties to share video images and talk. In lieu of video streaming, initial visual inspections may also rely on photo evidence demonstrating the unit conditions for each HQS inspection item.</w:t>
      </w:r>
    </w:p>
    <w:p w14:paraId="12F3DDE2" w14:textId="77777777" w:rsidR="00213038" w:rsidRPr="00E15DB1" w:rsidRDefault="00213038" w:rsidP="00213038">
      <w:pPr>
        <w:jc w:val="both"/>
        <w:rPr>
          <w:sz w:val="24"/>
          <w:szCs w:val="24"/>
        </w:rPr>
      </w:pPr>
      <w:r w:rsidRPr="00E15DB1">
        <w:rPr>
          <w:sz w:val="24"/>
          <w:szCs w:val="24"/>
        </w:rPr>
        <w:t>The recipient or subrecipient must arrange with the owner or property manager to enable a designated person to video conference and to walk through the interior and exterior of the unit to be leased or to provide photographic evidence. The person conducting the HQS inspection on behalf of the recipient or subrecipient must verify that the unit being viewed is the unit being leased, for example via remote observation of the building and, if applicable, unit number.  The inspector must also complete the HQS inspection form, noting on the first page of the form that this inspection has been conducted using remote video technology or photographic evidence.  If the recipient/sub-recipient does not uncover any HQS deficiencies through this remote inspection process, ESG, CoC rental assistance or CoC leasing funds may be provided for the unit. If significant deficiencies are uncovered that would threaten participant health and safety, they must be corrected, and a remote video inspection of the improvements must be conducted or photographic evidence of the correction must be submitted prior to providing ESG, CoC rental assistance or CoC leasing funds.</w:t>
      </w:r>
    </w:p>
    <w:p w14:paraId="268598B0" w14:textId="79B89E14" w:rsidR="00213038" w:rsidRPr="00ED66A5" w:rsidRDefault="00213038" w:rsidP="00213038">
      <w:pPr>
        <w:rPr>
          <w:color w:val="FF0000"/>
        </w:rPr>
      </w:pPr>
      <w:r w:rsidRPr="00ED66A5">
        <w:rPr>
          <w:color w:val="FF0000"/>
          <w:sz w:val="24"/>
          <w:szCs w:val="24"/>
        </w:rPr>
        <w:lastRenderedPageBreak/>
        <w:t>When a remote initial inspection as described above is determined by an authorized program manager not to be feasible t</w:t>
      </w:r>
      <w:r w:rsidRPr="00ED66A5">
        <w:rPr>
          <w:color w:val="FF0000"/>
        </w:rPr>
        <w:t xml:space="preserve">he recipient or subrecipient will, prior to providing CoC rental assistance/leasing, or ESG RRH assistance: </w:t>
      </w:r>
    </w:p>
    <w:p w14:paraId="7A4ABC68" w14:textId="7B7B1A75" w:rsidR="00213038" w:rsidRPr="00ED66A5" w:rsidRDefault="00213038" w:rsidP="00213038">
      <w:pPr>
        <w:pStyle w:val="ListParagraph"/>
        <w:numPr>
          <w:ilvl w:val="0"/>
          <w:numId w:val="12"/>
        </w:numPr>
        <w:rPr>
          <w:color w:val="FF0000"/>
        </w:rPr>
      </w:pPr>
      <w:r w:rsidRPr="00ED66A5">
        <w:rPr>
          <w:color w:val="FF0000"/>
        </w:rPr>
        <w:t>Obtain a certification from the owner of the real property that they have no reasonable basis to have knowledge that life</w:t>
      </w:r>
      <w:r w:rsidR="00D95E21" w:rsidRPr="00ED66A5">
        <w:rPr>
          <w:color w:val="FF0000"/>
        </w:rPr>
        <w:t>-</w:t>
      </w:r>
      <w:r w:rsidRPr="00ED66A5">
        <w:rPr>
          <w:color w:val="FF0000"/>
        </w:rPr>
        <w:t>threatening conditions exist within the dwelling unit.</w:t>
      </w:r>
    </w:p>
    <w:p w14:paraId="15F50013" w14:textId="6BB5E7AE" w:rsidR="00363CEB" w:rsidRPr="00E15DB1" w:rsidRDefault="00363CEB" w:rsidP="002D5DC5">
      <w:pPr>
        <w:jc w:val="both"/>
        <w:rPr>
          <w:sz w:val="24"/>
          <w:szCs w:val="24"/>
        </w:rPr>
      </w:pPr>
      <w:r w:rsidRPr="00E15DB1">
        <w:rPr>
          <w:sz w:val="24"/>
          <w:szCs w:val="24"/>
        </w:rPr>
        <w:t>When the community at large has been informed by public health authorities that special measures to prevent the spread of COVID-19 are no longer necessary, the recipient/sub-recipient/contractor must conduct an in-person physical inspection of all units approved using remote technology</w:t>
      </w:r>
      <w:r w:rsidR="00D95E21">
        <w:rPr>
          <w:sz w:val="24"/>
          <w:szCs w:val="24"/>
        </w:rPr>
        <w:t xml:space="preserve"> </w:t>
      </w:r>
      <w:r w:rsidR="00D95E21" w:rsidRPr="00ED66A5">
        <w:rPr>
          <w:color w:val="FF0000"/>
          <w:sz w:val="24"/>
          <w:szCs w:val="24"/>
        </w:rPr>
        <w:t>and/owner certification</w:t>
      </w:r>
      <w:r w:rsidRPr="00E15DB1">
        <w:rPr>
          <w:sz w:val="24"/>
          <w:szCs w:val="24"/>
        </w:rPr>
        <w:t>. This in-person physical inspection must occur within three (3) months of the date on which health officials notify that the COVID-19 special measures are no longer required. Inspections of units constructed prior to 1978 housing children under six and/or pregnant women will be prioritized for reinspection due to lead-based paint risks.</w:t>
      </w:r>
    </w:p>
    <w:p w14:paraId="731086E8" w14:textId="12EE4B13" w:rsidR="00EC479E" w:rsidRDefault="006F060E" w:rsidP="002D5DC5">
      <w:pPr>
        <w:jc w:val="both"/>
        <w:rPr>
          <w:sz w:val="24"/>
          <w:szCs w:val="24"/>
        </w:rPr>
      </w:pPr>
      <w:r w:rsidRPr="00E15DB1">
        <w:rPr>
          <w:b/>
          <w:bCs/>
          <w:sz w:val="24"/>
          <w:szCs w:val="24"/>
        </w:rPr>
        <w:t xml:space="preserve">Documentation: </w:t>
      </w:r>
      <w:r w:rsidRPr="00E15DB1">
        <w:rPr>
          <w:sz w:val="24"/>
          <w:szCs w:val="24"/>
        </w:rPr>
        <w:t xml:space="preserve">The recipient must maintain </w:t>
      </w:r>
      <w:r w:rsidR="00D95E21" w:rsidRPr="00ED66A5">
        <w:rPr>
          <w:color w:val="FF0000"/>
          <w:sz w:val="24"/>
          <w:szCs w:val="24"/>
        </w:rPr>
        <w:t xml:space="preserve">either the owner certification or </w:t>
      </w:r>
      <w:r w:rsidRPr="00E15DB1">
        <w:rPr>
          <w:sz w:val="24"/>
          <w:szCs w:val="24"/>
        </w:rPr>
        <w:t>a HQS inspection report in the participant files. If the inspection was conducted remotely, this must be noted at the top of the inspection form</w:t>
      </w:r>
      <w:r w:rsidR="00363CEB" w:rsidRPr="00E15DB1">
        <w:rPr>
          <w:sz w:val="24"/>
          <w:szCs w:val="24"/>
        </w:rPr>
        <w:t xml:space="preserve"> and the date of the inspection must fall within the applicable waiver period</w:t>
      </w:r>
      <w:r w:rsidRPr="00E15DB1">
        <w:rPr>
          <w:sz w:val="24"/>
          <w:szCs w:val="24"/>
        </w:rPr>
        <w:t>. The recipient must maintain documentation of the in-person re-inspection which must occur within 3 months of the notification from health authorities that COVID-19 special measures are no longer necessary. Documentation of that determination must be maintained in the participant file along with the completed re-inspection form within the required three-month period.</w:t>
      </w:r>
      <w:r w:rsidR="00363CEB" w:rsidRPr="00E15DB1">
        <w:rPr>
          <w:sz w:val="24"/>
          <w:szCs w:val="24"/>
        </w:rPr>
        <w:t xml:space="preserve">  When using photo evidence, the inspector must obtain an oral or written certification from the person who took the photos indicating the date the photos were taken and the address and number of the unit depicted in the photos.  This certification must be documented in the participants’ chart.</w:t>
      </w:r>
    </w:p>
    <w:p w14:paraId="4DEAFE4D" w14:textId="77777777" w:rsidR="00E15DB1" w:rsidRPr="00E15DB1" w:rsidRDefault="00E15DB1" w:rsidP="002D5DC5">
      <w:pPr>
        <w:jc w:val="both"/>
        <w:rPr>
          <w:sz w:val="24"/>
          <w:szCs w:val="24"/>
        </w:rPr>
      </w:pPr>
    </w:p>
    <w:p w14:paraId="5C146059" w14:textId="4712D995" w:rsidR="006F060E" w:rsidRPr="00E15DB1" w:rsidRDefault="00E15DB1" w:rsidP="002D5DC5">
      <w:pPr>
        <w:pStyle w:val="Heading2"/>
        <w:jc w:val="both"/>
        <w:rPr>
          <w:rFonts w:asciiTheme="minorHAnsi" w:hAnsiTheme="minorHAnsi"/>
          <w:sz w:val="24"/>
          <w:szCs w:val="24"/>
        </w:rPr>
      </w:pPr>
      <w:bookmarkStart w:id="16" w:name="_Toc52973338"/>
      <w:r>
        <w:rPr>
          <w:rFonts w:asciiTheme="minorHAnsi" w:hAnsiTheme="minorHAnsi"/>
          <w:sz w:val="24"/>
          <w:szCs w:val="24"/>
        </w:rPr>
        <w:t xml:space="preserve">9. </w:t>
      </w:r>
      <w:r w:rsidR="006F060E" w:rsidRPr="00E15DB1">
        <w:rPr>
          <w:rFonts w:asciiTheme="minorHAnsi" w:hAnsiTheme="minorHAnsi"/>
          <w:sz w:val="24"/>
          <w:szCs w:val="24"/>
        </w:rPr>
        <w:t>HQS – Re-Inspection of Units</w:t>
      </w:r>
      <w:r w:rsidR="00363CEB" w:rsidRPr="00E15DB1">
        <w:rPr>
          <w:rFonts w:asciiTheme="minorHAnsi" w:hAnsiTheme="minorHAnsi"/>
          <w:sz w:val="24"/>
          <w:szCs w:val="24"/>
        </w:rPr>
        <w:t xml:space="preserve"> (Applies to ESG RRH projects and CoC projects with Leasing or Rental Assistance Budget Line Items)</w:t>
      </w:r>
      <w:bookmarkEnd w:id="16"/>
    </w:p>
    <w:p w14:paraId="14C13018"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Recipients or subrecipients must inspect all units for which leasing or rental assistance funds are used, at least annually to ensure they continue to meet HQS.</w:t>
      </w:r>
      <w:r w:rsidR="00363CEB" w:rsidRPr="00E15DB1">
        <w:rPr>
          <w:sz w:val="24"/>
          <w:szCs w:val="24"/>
        </w:rPr>
        <w:t xml:space="preserve"> CT DOH also requires this for ESG RRH projects.</w:t>
      </w:r>
    </w:p>
    <w:p w14:paraId="525EC290"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578.75(b)(2)</w:t>
      </w:r>
      <w:r w:rsidR="00363CEB" w:rsidRPr="00E15DB1">
        <w:rPr>
          <w:sz w:val="24"/>
          <w:szCs w:val="24"/>
        </w:rPr>
        <w:t>; CT Statewide RRH Guidelines</w:t>
      </w:r>
    </w:p>
    <w:p w14:paraId="185AF0D9"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 Recipients or subrecipients are required to inspect all </w:t>
      </w:r>
      <w:r w:rsidR="00363CEB" w:rsidRPr="00E15DB1">
        <w:rPr>
          <w:sz w:val="24"/>
          <w:szCs w:val="24"/>
        </w:rPr>
        <w:t xml:space="preserve">ESG RRH and CoC </w:t>
      </w:r>
      <w:r w:rsidRPr="00E15DB1">
        <w:rPr>
          <w:sz w:val="24"/>
          <w:szCs w:val="24"/>
        </w:rPr>
        <w:t>units supported by leasing or rental assistance funding under at least annually during the grant period to ensure the units continue to meet HQS.</w:t>
      </w:r>
    </w:p>
    <w:p w14:paraId="73D662D6"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 xml:space="preserve">Sending program staff into the community to conduct HQS has the potential to create COVID-19 exposure opportunities. Additionally, stay-at-home orders in some jurisdictions may prevent staff from being able to conduct HQS. Reducing exposure to and preventing the spread of COVID-19 are important public health goals. Also, HUD in other housing assistance </w:t>
      </w:r>
      <w:r w:rsidRPr="00E15DB1">
        <w:rPr>
          <w:sz w:val="24"/>
          <w:szCs w:val="24"/>
        </w:rPr>
        <w:lastRenderedPageBreak/>
        <w:t>programs, notably the Housing Choice Voucher program, routinely allows PHAs to conduct biennial inspections and this policy has not caused harm to participants.</w:t>
      </w:r>
    </w:p>
    <w:p w14:paraId="029A99D1"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 xml:space="preserve"> The requirement for annual re-inspections is waived for a one-year period extending until March 3</w:t>
      </w:r>
      <w:r w:rsidR="00363CEB" w:rsidRPr="00E15DB1">
        <w:rPr>
          <w:sz w:val="24"/>
          <w:szCs w:val="24"/>
        </w:rPr>
        <w:t>1</w:t>
      </w:r>
      <w:r w:rsidRPr="00E15DB1">
        <w:rPr>
          <w:sz w:val="24"/>
          <w:szCs w:val="24"/>
        </w:rPr>
        <w:t>, 2021.</w:t>
      </w:r>
    </w:p>
    <w:p w14:paraId="000B93F6" w14:textId="77777777"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 </w:t>
      </w:r>
      <w:r w:rsidR="003F4C23" w:rsidRPr="00E15DB1">
        <w:rPr>
          <w:sz w:val="24"/>
          <w:szCs w:val="24"/>
        </w:rPr>
        <w:t xml:space="preserve">For units that were already previously inspected and approved, neither a physical nor remote annual re-inspection is required during the waiver period.  To ensure that units assisted through CoC/ESG funds provide safe, decent housing for project participants, this agency will continue to safely perform re-inspections as feasible during the crisis (e.g., using remote technology).  When projects are unable to perform such inspections (e.g., due to COVID-19 related staff re-assignments), staff will ask participants regularly about unit conditions and seek photo evidence as determined necessary and feasible.  This waiver does not eliminate the requirement that landlords and tenants maintain units in a manner that is consistent with HQS.  </w:t>
      </w:r>
      <w:r w:rsidRPr="00E15DB1">
        <w:rPr>
          <w:sz w:val="24"/>
          <w:szCs w:val="24"/>
        </w:rPr>
        <w:t xml:space="preserve"> </w:t>
      </w:r>
      <w:r w:rsidR="003F4C23" w:rsidRPr="00E15DB1">
        <w:rPr>
          <w:sz w:val="24"/>
          <w:szCs w:val="24"/>
        </w:rPr>
        <w:t>This agency will</w:t>
      </w:r>
      <w:r w:rsidRPr="00E15DB1">
        <w:rPr>
          <w:sz w:val="24"/>
          <w:szCs w:val="24"/>
        </w:rPr>
        <w:t xml:space="preserve"> re-inspect units no later than twenty-four months after the most recent inspection.</w:t>
      </w:r>
    </w:p>
    <w:p w14:paraId="5737FE37" w14:textId="51E1831A" w:rsidR="006F060E" w:rsidRDefault="006F060E" w:rsidP="002D5DC5">
      <w:pPr>
        <w:jc w:val="both"/>
        <w:rPr>
          <w:sz w:val="24"/>
          <w:szCs w:val="24"/>
        </w:rPr>
      </w:pPr>
      <w:r w:rsidRPr="00E15DB1">
        <w:rPr>
          <w:b/>
          <w:bCs/>
          <w:sz w:val="24"/>
          <w:szCs w:val="24"/>
        </w:rPr>
        <w:t xml:space="preserve">Documentation: </w:t>
      </w:r>
      <w:r w:rsidRPr="00E15DB1">
        <w:rPr>
          <w:sz w:val="24"/>
          <w:szCs w:val="24"/>
        </w:rPr>
        <w:t>For participants whose units are not being annually re-inspected, the recipient will note in the participant files that the unit was not re-inspected consistent with this waiver.</w:t>
      </w:r>
      <w:r w:rsidR="003F4C23" w:rsidRPr="00E15DB1">
        <w:rPr>
          <w:sz w:val="24"/>
          <w:szCs w:val="24"/>
        </w:rPr>
        <w:t xml:space="preserve">  Staff will ask participants regularly about unit conditions, seek photo evidence as determined necessary and feasible, document reported conditions, and maintain any photo evidence in the participant files.</w:t>
      </w:r>
    </w:p>
    <w:p w14:paraId="536F6D5D" w14:textId="77777777" w:rsidR="00E15DB1" w:rsidRPr="00E15DB1" w:rsidRDefault="00E15DB1" w:rsidP="002D5DC5">
      <w:pPr>
        <w:jc w:val="both"/>
        <w:rPr>
          <w:sz w:val="24"/>
          <w:szCs w:val="24"/>
        </w:rPr>
      </w:pPr>
    </w:p>
    <w:p w14:paraId="1A205726" w14:textId="4CFB1934" w:rsidR="006F060E" w:rsidRPr="00E15DB1" w:rsidRDefault="00E15DB1" w:rsidP="002D5DC5">
      <w:pPr>
        <w:pStyle w:val="Heading2"/>
        <w:jc w:val="both"/>
        <w:rPr>
          <w:rFonts w:asciiTheme="minorHAnsi" w:hAnsiTheme="minorHAnsi"/>
          <w:sz w:val="24"/>
          <w:szCs w:val="24"/>
        </w:rPr>
      </w:pPr>
      <w:bookmarkStart w:id="17" w:name="_Toc52973339"/>
      <w:r>
        <w:rPr>
          <w:rFonts w:asciiTheme="minorHAnsi" w:hAnsiTheme="minorHAnsi"/>
          <w:sz w:val="24"/>
          <w:szCs w:val="24"/>
        </w:rPr>
        <w:t xml:space="preserve">10. </w:t>
      </w:r>
      <w:r w:rsidR="006F060E" w:rsidRPr="00E15DB1">
        <w:rPr>
          <w:rFonts w:asciiTheme="minorHAnsi" w:hAnsiTheme="minorHAnsi"/>
          <w:sz w:val="24"/>
          <w:szCs w:val="24"/>
        </w:rPr>
        <w:t>One</w:t>
      </w:r>
      <w:r w:rsidR="004D2ADF">
        <w:rPr>
          <w:rFonts w:asciiTheme="minorHAnsi" w:hAnsiTheme="minorHAnsi"/>
          <w:sz w:val="24"/>
          <w:szCs w:val="24"/>
        </w:rPr>
        <w:t>-</w:t>
      </w:r>
      <w:r w:rsidR="006F060E" w:rsidRPr="00E15DB1">
        <w:rPr>
          <w:rFonts w:asciiTheme="minorHAnsi" w:hAnsiTheme="minorHAnsi"/>
          <w:sz w:val="24"/>
          <w:szCs w:val="24"/>
        </w:rPr>
        <w:t>Year Lease Requirement</w:t>
      </w:r>
      <w:r w:rsidR="003F4C23" w:rsidRPr="00E15DB1">
        <w:rPr>
          <w:rFonts w:asciiTheme="minorHAnsi" w:hAnsiTheme="minorHAnsi"/>
          <w:sz w:val="24"/>
          <w:szCs w:val="24"/>
        </w:rPr>
        <w:t xml:space="preserve"> (Applies to CoC RRH and PSH and ESG RRH projects)</w:t>
      </w:r>
      <w:bookmarkEnd w:id="17"/>
    </w:p>
    <w:p w14:paraId="65BC072C"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 xml:space="preserve">Program participants residing in PSH </w:t>
      </w:r>
      <w:r w:rsidR="003F4C23" w:rsidRPr="00E15DB1">
        <w:rPr>
          <w:sz w:val="24"/>
          <w:szCs w:val="24"/>
        </w:rPr>
        <w:t xml:space="preserve">and RRH </w:t>
      </w:r>
      <w:r w:rsidRPr="00E15DB1">
        <w:rPr>
          <w:sz w:val="24"/>
          <w:szCs w:val="24"/>
        </w:rPr>
        <w:t>must be the tenant on a lease for a term of at least one year that is renewable and terminable for cause.</w:t>
      </w:r>
    </w:p>
    <w:p w14:paraId="796C0FED"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578.3, definition of permanent housing, 24 CFR 578.51(l)(1)</w:t>
      </w:r>
      <w:r w:rsidR="003F4C23" w:rsidRPr="00E15DB1">
        <w:rPr>
          <w:sz w:val="24"/>
          <w:szCs w:val="24"/>
        </w:rPr>
        <w:t>; CT Statewide RRH Guidelines</w:t>
      </w:r>
    </w:p>
    <w:p w14:paraId="41ABFB59"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The CoC interim rule requires program participants residing in permanent housing</w:t>
      </w:r>
      <w:r w:rsidR="003F4C23" w:rsidRPr="00E15DB1">
        <w:rPr>
          <w:sz w:val="24"/>
          <w:szCs w:val="24"/>
        </w:rPr>
        <w:t xml:space="preserve"> </w:t>
      </w:r>
      <w:r w:rsidRPr="00E15DB1">
        <w:rPr>
          <w:sz w:val="24"/>
          <w:szCs w:val="24"/>
        </w:rPr>
        <w:t>to be the tenant on a lease for a term of one year that is renewable and terminable for cause.</w:t>
      </w:r>
      <w:r w:rsidR="005A35FB" w:rsidRPr="00E15DB1">
        <w:rPr>
          <w:sz w:val="24"/>
          <w:szCs w:val="24"/>
        </w:rPr>
        <w:t xml:space="preserve"> CT DOH also requires this for ESG RRH.</w:t>
      </w:r>
    </w:p>
    <w:p w14:paraId="7DD64FBB"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Waiving the one-year lease requirement as specified below will allow recipients to more quickly identify permanent housing for individuals and families experiencing homelessness, which is helpful in preventing the spread of COVID-19</w:t>
      </w:r>
    </w:p>
    <w:p w14:paraId="21BDC74D" w14:textId="2D84A0C6"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 xml:space="preserve">The one-year lease requirement is waived until </w:t>
      </w:r>
      <w:r w:rsidR="004D2ADF">
        <w:rPr>
          <w:sz w:val="24"/>
          <w:szCs w:val="24"/>
        </w:rPr>
        <w:t>December 31</w:t>
      </w:r>
      <w:r w:rsidRPr="00E15DB1">
        <w:rPr>
          <w:sz w:val="24"/>
          <w:szCs w:val="24"/>
        </w:rPr>
        <w:t>, 2020.</w:t>
      </w:r>
    </w:p>
    <w:p w14:paraId="08938CF3" w14:textId="3699B1E2"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Recipients may allow participants to enter into lease agreements provided that the initial lease term </w:t>
      </w:r>
      <w:r w:rsidR="005A35FB" w:rsidRPr="00E15DB1">
        <w:rPr>
          <w:sz w:val="24"/>
          <w:szCs w:val="24"/>
        </w:rPr>
        <w:t>is</w:t>
      </w:r>
      <w:r w:rsidRPr="00E15DB1">
        <w:rPr>
          <w:sz w:val="24"/>
          <w:szCs w:val="24"/>
        </w:rPr>
        <w:t xml:space="preserve"> </w:t>
      </w:r>
      <w:r w:rsidR="004D2ADF" w:rsidRPr="004D2ADF">
        <w:rPr>
          <w:color w:val="FF0000"/>
          <w:sz w:val="24"/>
          <w:szCs w:val="24"/>
        </w:rPr>
        <w:t>at least</w:t>
      </w:r>
      <w:r w:rsidR="005A35FB" w:rsidRPr="004D2ADF">
        <w:rPr>
          <w:color w:val="FF0000"/>
          <w:sz w:val="24"/>
          <w:szCs w:val="24"/>
        </w:rPr>
        <w:t xml:space="preserve"> </w:t>
      </w:r>
      <w:r w:rsidR="005A35FB" w:rsidRPr="00E15DB1">
        <w:rPr>
          <w:sz w:val="24"/>
          <w:szCs w:val="24"/>
        </w:rPr>
        <w:t>one-month</w:t>
      </w:r>
      <w:r w:rsidRPr="00E15DB1">
        <w:rPr>
          <w:sz w:val="24"/>
          <w:szCs w:val="24"/>
        </w:rPr>
        <w:t xml:space="preserve">. </w:t>
      </w:r>
      <w:r w:rsidR="005A35FB" w:rsidRPr="00E15DB1">
        <w:rPr>
          <w:sz w:val="24"/>
          <w:szCs w:val="24"/>
        </w:rPr>
        <w:t xml:space="preserve">For example, during the waiver period, a </w:t>
      </w:r>
      <w:r w:rsidR="004D2ADF" w:rsidRPr="004D2ADF">
        <w:rPr>
          <w:color w:val="FF0000"/>
          <w:sz w:val="24"/>
          <w:szCs w:val="24"/>
        </w:rPr>
        <w:t>one</w:t>
      </w:r>
      <w:r w:rsidR="005A35FB" w:rsidRPr="00E15DB1">
        <w:rPr>
          <w:sz w:val="24"/>
          <w:szCs w:val="24"/>
        </w:rPr>
        <w:t xml:space="preserve">-month initial lease that then goes month-to-month would be allowable. This waiver is applicable to all initial leases executed during the waiver period, regardless of whether the lease term extends </w:t>
      </w:r>
      <w:r w:rsidR="005A35FB" w:rsidRPr="00E15DB1">
        <w:rPr>
          <w:sz w:val="24"/>
          <w:szCs w:val="24"/>
        </w:rPr>
        <w:lastRenderedPageBreak/>
        <w:t xml:space="preserve">beyond </w:t>
      </w:r>
      <w:r w:rsidR="004D2ADF">
        <w:rPr>
          <w:sz w:val="24"/>
          <w:szCs w:val="24"/>
        </w:rPr>
        <w:t>12</w:t>
      </w:r>
      <w:r w:rsidR="005A35FB" w:rsidRPr="00E15DB1">
        <w:rPr>
          <w:sz w:val="24"/>
          <w:szCs w:val="24"/>
        </w:rPr>
        <w:t>/3</w:t>
      </w:r>
      <w:r w:rsidR="004D2ADF">
        <w:rPr>
          <w:sz w:val="24"/>
          <w:szCs w:val="24"/>
        </w:rPr>
        <w:t>1</w:t>
      </w:r>
      <w:r w:rsidR="005A35FB" w:rsidRPr="00E15DB1">
        <w:rPr>
          <w:sz w:val="24"/>
          <w:szCs w:val="24"/>
        </w:rPr>
        <w:t xml:space="preserve">/20.  For example, it is allowable for a project to provide rental assistance for a unit with a 6-month lease that starts on </w:t>
      </w:r>
      <w:r w:rsidR="004D2ADF">
        <w:rPr>
          <w:sz w:val="24"/>
          <w:szCs w:val="24"/>
        </w:rPr>
        <w:t>10</w:t>
      </w:r>
      <w:r w:rsidR="005A35FB" w:rsidRPr="00E15DB1">
        <w:rPr>
          <w:sz w:val="24"/>
          <w:szCs w:val="24"/>
        </w:rPr>
        <w:t xml:space="preserve">/1/20 and expires on </w:t>
      </w:r>
      <w:r w:rsidR="0024655E">
        <w:rPr>
          <w:sz w:val="24"/>
          <w:szCs w:val="24"/>
        </w:rPr>
        <w:t>9</w:t>
      </w:r>
      <w:r w:rsidR="005A35FB" w:rsidRPr="00E15DB1">
        <w:rPr>
          <w:sz w:val="24"/>
          <w:szCs w:val="24"/>
        </w:rPr>
        <w:t>/3</w:t>
      </w:r>
      <w:r w:rsidR="0024655E">
        <w:rPr>
          <w:sz w:val="24"/>
          <w:szCs w:val="24"/>
        </w:rPr>
        <w:t>0</w:t>
      </w:r>
      <w:r w:rsidR="005A35FB" w:rsidRPr="00E15DB1">
        <w:rPr>
          <w:sz w:val="24"/>
          <w:szCs w:val="24"/>
        </w:rPr>
        <w:t>/2</w:t>
      </w:r>
      <w:r w:rsidR="0024655E">
        <w:rPr>
          <w:sz w:val="24"/>
          <w:szCs w:val="24"/>
        </w:rPr>
        <w:t>1</w:t>
      </w:r>
      <w:r w:rsidR="005A35FB" w:rsidRPr="00E15DB1">
        <w:rPr>
          <w:sz w:val="24"/>
          <w:szCs w:val="24"/>
        </w:rPr>
        <w:t>.  This agency will help participants to secure a one-year initial lease whenever feasible. This agency</w:t>
      </w:r>
      <w:r w:rsidRPr="00E15DB1">
        <w:rPr>
          <w:sz w:val="24"/>
          <w:szCs w:val="24"/>
        </w:rPr>
        <w:t xml:space="preserve"> shall identify the market circumstances that necessitate the use of a lease with a shorter initial term and link this shorter lease term to the ability to house participants more rapidly.</w:t>
      </w:r>
    </w:p>
    <w:p w14:paraId="1F92EDB1" w14:textId="77777777" w:rsidR="006F060E" w:rsidRPr="00E15DB1" w:rsidRDefault="006F060E" w:rsidP="002D5DC5">
      <w:pPr>
        <w:jc w:val="both"/>
        <w:rPr>
          <w:sz w:val="24"/>
          <w:szCs w:val="24"/>
        </w:rPr>
      </w:pPr>
      <w:r w:rsidRPr="00E15DB1">
        <w:rPr>
          <w:b/>
          <w:bCs/>
          <w:sz w:val="24"/>
          <w:szCs w:val="24"/>
        </w:rPr>
        <w:t xml:space="preserve">Documentation: </w:t>
      </w:r>
      <w:r w:rsidRPr="00E15DB1">
        <w:rPr>
          <w:sz w:val="24"/>
          <w:szCs w:val="24"/>
        </w:rPr>
        <w:t xml:space="preserve"> The recipient must maintain documentation in the participant file to indicate that it has exercised the one-year lease term waiver. The participant’s lease must be included in his/her participant file and the lease must show a term </w:t>
      </w:r>
      <w:r w:rsidR="005A35FB" w:rsidRPr="00E15DB1">
        <w:rPr>
          <w:sz w:val="24"/>
          <w:szCs w:val="24"/>
        </w:rPr>
        <w:t>greater than</w:t>
      </w:r>
      <w:r w:rsidRPr="00E15DB1">
        <w:rPr>
          <w:sz w:val="24"/>
          <w:szCs w:val="24"/>
        </w:rPr>
        <w:t xml:space="preserve"> one month</w:t>
      </w:r>
      <w:r w:rsidR="005A35FB" w:rsidRPr="00E15DB1">
        <w:rPr>
          <w:sz w:val="24"/>
          <w:szCs w:val="24"/>
        </w:rPr>
        <w:t xml:space="preserve"> and an execution date that is within the applicable waiver period.</w:t>
      </w:r>
    </w:p>
    <w:p w14:paraId="32222E11" w14:textId="77777777" w:rsidR="00D95E21" w:rsidRDefault="00D95E21" w:rsidP="002D5DC5">
      <w:pPr>
        <w:jc w:val="both"/>
      </w:pPr>
    </w:p>
    <w:p w14:paraId="644E1A97" w14:textId="7B61E3C1" w:rsidR="00D95E21" w:rsidRPr="00E15DB1" w:rsidRDefault="00D95E21" w:rsidP="00D95E21">
      <w:pPr>
        <w:pStyle w:val="Heading2"/>
        <w:jc w:val="both"/>
        <w:rPr>
          <w:rFonts w:asciiTheme="minorHAnsi" w:hAnsiTheme="minorHAnsi"/>
          <w:sz w:val="24"/>
          <w:szCs w:val="24"/>
        </w:rPr>
      </w:pPr>
      <w:bookmarkStart w:id="18" w:name="_Toc52973340"/>
      <w:r>
        <w:rPr>
          <w:rFonts w:asciiTheme="minorHAnsi" w:hAnsiTheme="minorHAnsi"/>
          <w:sz w:val="24"/>
          <w:szCs w:val="24"/>
        </w:rPr>
        <w:t xml:space="preserve">11. </w:t>
      </w:r>
      <w:r w:rsidR="00ED66A5">
        <w:rPr>
          <w:rFonts w:asciiTheme="minorHAnsi" w:hAnsiTheme="minorHAnsi"/>
          <w:sz w:val="24"/>
          <w:szCs w:val="24"/>
        </w:rPr>
        <w:t>Third-party documentation</w:t>
      </w:r>
      <w:r>
        <w:rPr>
          <w:rFonts w:asciiTheme="minorHAnsi" w:hAnsiTheme="minorHAnsi"/>
          <w:sz w:val="24"/>
          <w:szCs w:val="24"/>
        </w:rPr>
        <w:t xml:space="preserve"> of income</w:t>
      </w:r>
      <w:r w:rsidRPr="00E15DB1">
        <w:rPr>
          <w:rFonts w:asciiTheme="minorHAnsi" w:hAnsiTheme="minorHAnsi"/>
          <w:sz w:val="24"/>
          <w:szCs w:val="24"/>
        </w:rPr>
        <w:t xml:space="preserve"> (Applies to </w:t>
      </w:r>
      <w:r>
        <w:rPr>
          <w:rFonts w:asciiTheme="minorHAnsi" w:hAnsiTheme="minorHAnsi"/>
          <w:sz w:val="24"/>
          <w:szCs w:val="24"/>
        </w:rPr>
        <w:t>all CoC Projects)</w:t>
      </w:r>
      <w:bookmarkEnd w:id="18"/>
    </w:p>
    <w:p w14:paraId="47F453ED" w14:textId="77777777" w:rsidR="00ED66A5" w:rsidRDefault="00ED66A5" w:rsidP="00ED66A5">
      <w:pPr>
        <w:pStyle w:val="Default"/>
      </w:pPr>
    </w:p>
    <w:p w14:paraId="03448324" w14:textId="4873ADA1" w:rsidR="00ED66A5" w:rsidRPr="00B25A6C" w:rsidRDefault="00ED66A5" w:rsidP="00ED66A5">
      <w:pPr>
        <w:pStyle w:val="CM23"/>
        <w:spacing w:after="277" w:line="278" w:lineRule="atLeast"/>
        <w:jc w:val="both"/>
        <w:rPr>
          <w:rFonts w:asciiTheme="minorHAnsi" w:hAnsiTheme="minorHAnsi" w:cstheme="minorHAnsi"/>
          <w:color w:val="FF0000"/>
        </w:rPr>
      </w:pPr>
      <w:r w:rsidRPr="00B25A6C">
        <w:rPr>
          <w:rFonts w:asciiTheme="minorHAnsi" w:hAnsiTheme="minorHAnsi" w:cstheme="minorHAnsi"/>
          <w:b/>
          <w:bCs/>
          <w:color w:val="FF0000"/>
        </w:rPr>
        <w:t xml:space="preserve">Requirement: </w:t>
      </w:r>
      <w:r w:rsidRPr="00B25A6C">
        <w:rPr>
          <w:rFonts w:asciiTheme="minorHAnsi" w:hAnsiTheme="minorHAnsi" w:cstheme="minorHAnsi"/>
          <w:color w:val="FF0000"/>
        </w:rPr>
        <w:t xml:space="preserve">Where a program participant pays rent or an occupancy charge in accordance with  HUD requires recipients and subrecipients to keep on file an income evaluation form along with one of the following types of back-up documentation: (1) source documents for the assets held by the program participant and income received before the date of the evaluation; (2) to the extent that source documents are unobtainable, a written statement by the relevant third party or the written certification of the recipient's or subrecipient' s intake staff of the relevant third party's oral verification of the income the program participant received over the most recent period; or (3) to the extent that source documents and third-party verification are unobtainable, the program participant's own written certification of income that the program participant is reasonably expected to receive over the 3-month period following the evaluation. </w:t>
      </w:r>
    </w:p>
    <w:p w14:paraId="7667BFF6" w14:textId="77777777" w:rsidR="00ED66A5" w:rsidRPr="00B25A6C" w:rsidRDefault="00ED66A5" w:rsidP="00ED66A5">
      <w:pPr>
        <w:pStyle w:val="CM23"/>
        <w:spacing w:after="277" w:line="278" w:lineRule="atLeast"/>
        <w:jc w:val="both"/>
        <w:rPr>
          <w:rFonts w:asciiTheme="minorHAnsi" w:hAnsiTheme="minorHAnsi" w:cstheme="minorHAnsi"/>
          <w:color w:val="FF0000"/>
        </w:rPr>
      </w:pPr>
      <w:r w:rsidRPr="00B25A6C">
        <w:rPr>
          <w:rFonts w:asciiTheme="minorHAnsi" w:hAnsiTheme="minorHAnsi" w:cstheme="minorHAnsi"/>
          <w:b/>
          <w:bCs/>
          <w:color w:val="FF0000"/>
        </w:rPr>
        <w:t xml:space="preserve">Citation: </w:t>
      </w:r>
      <w:r w:rsidRPr="00B25A6C">
        <w:rPr>
          <w:rFonts w:asciiTheme="minorHAnsi" w:hAnsiTheme="minorHAnsi" w:cstheme="minorHAnsi"/>
          <w:color w:val="FF0000"/>
        </w:rPr>
        <w:t xml:space="preserve">24 CFR 578.103(a)(7)(iv) </w:t>
      </w:r>
    </w:p>
    <w:p w14:paraId="053C2FF1" w14:textId="3D608634" w:rsidR="00ED66A5" w:rsidRPr="00B25A6C" w:rsidRDefault="00ED66A5" w:rsidP="00ED66A5">
      <w:pPr>
        <w:pStyle w:val="CM23"/>
        <w:spacing w:after="277" w:line="276" w:lineRule="atLeast"/>
        <w:ind w:right="75"/>
        <w:jc w:val="both"/>
        <w:rPr>
          <w:rFonts w:asciiTheme="minorHAnsi" w:hAnsiTheme="minorHAnsi" w:cstheme="minorHAnsi"/>
          <w:color w:val="FF0000"/>
        </w:rPr>
      </w:pPr>
      <w:r w:rsidRPr="00B25A6C">
        <w:rPr>
          <w:rFonts w:asciiTheme="minorHAnsi" w:hAnsiTheme="minorHAnsi" w:cstheme="minorHAnsi"/>
          <w:b/>
          <w:bCs/>
          <w:color w:val="FF0000"/>
        </w:rPr>
        <w:t xml:space="preserve">Explanation: </w:t>
      </w:r>
      <w:r w:rsidRPr="00B25A6C">
        <w:rPr>
          <w:rFonts w:asciiTheme="minorHAnsi" w:hAnsiTheme="minorHAnsi" w:cstheme="minorHAnsi"/>
          <w:color w:val="FF0000"/>
        </w:rPr>
        <w:t>HUD requires the CoC recipient or subrecipient to keep records of the program participant's income and the back-up documentation they relied on to determine income. The regulation establishes an order of preference for the type of documentation that recipients can rely upon. Only if source documents and third-party verification are unobtainable is a written certification from the program participant acceptable documentation of income. HUD is waiving the requirement that participant self-certification of income can be used only when source and third-party documents are unobtainable.</w:t>
      </w:r>
    </w:p>
    <w:p w14:paraId="7107E66C" w14:textId="40998386" w:rsidR="00ED66A5" w:rsidRPr="00B25A6C" w:rsidRDefault="00ED66A5" w:rsidP="00ED66A5">
      <w:pPr>
        <w:pStyle w:val="CM23"/>
        <w:spacing w:after="277" w:line="278" w:lineRule="atLeast"/>
        <w:jc w:val="both"/>
        <w:rPr>
          <w:rFonts w:asciiTheme="minorHAnsi" w:hAnsiTheme="minorHAnsi" w:cstheme="minorHAnsi"/>
          <w:color w:val="FF0000"/>
        </w:rPr>
      </w:pPr>
      <w:r w:rsidRPr="00B25A6C">
        <w:rPr>
          <w:rFonts w:asciiTheme="minorHAnsi" w:hAnsiTheme="minorHAnsi" w:cstheme="minorHAnsi"/>
          <w:b/>
          <w:bCs/>
          <w:color w:val="FF0000"/>
        </w:rPr>
        <w:t xml:space="preserve">Justification: </w:t>
      </w:r>
      <w:r w:rsidRPr="00B25A6C">
        <w:rPr>
          <w:rFonts w:asciiTheme="minorHAnsi" w:hAnsiTheme="minorHAnsi" w:cstheme="minorHAnsi"/>
          <w:color w:val="FF0000"/>
        </w:rPr>
        <w:t xml:space="preserve">HUD understands that documentation may be difficult to obtain as a result of COVID-19 pandemic; therefore, waiving the requirement that source documents and third-party documentation be unobtainable in order for recipients or subrecipients to rely on a program participant's own certification </w:t>
      </w:r>
      <w:proofErr w:type="spellStart"/>
      <w:r w:rsidRPr="00B25A6C">
        <w:rPr>
          <w:rFonts w:asciiTheme="minorHAnsi" w:hAnsiTheme="minorHAnsi" w:cstheme="minorHAnsi"/>
          <w:color w:val="FF0000"/>
        </w:rPr>
        <w:t>oftheir</w:t>
      </w:r>
      <w:proofErr w:type="spellEnd"/>
      <w:r w:rsidRPr="00B25A6C">
        <w:rPr>
          <w:rFonts w:asciiTheme="minorHAnsi" w:hAnsiTheme="minorHAnsi" w:cstheme="minorHAnsi"/>
          <w:color w:val="FF0000"/>
        </w:rPr>
        <w:t xml:space="preserve"> income will help recipients and subrecipients house program participants more quickly and determine the appropriate rent contribution or occupancy charge. Moving people experiencing homelessness more quickly into housing enables social distancing, and helps prevent the spread of</w:t>
      </w:r>
      <w:r w:rsidR="007E42DF">
        <w:rPr>
          <w:rFonts w:asciiTheme="minorHAnsi" w:hAnsiTheme="minorHAnsi" w:cstheme="minorHAnsi"/>
          <w:color w:val="FF0000"/>
        </w:rPr>
        <w:t xml:space="preserve"> </w:t>
      </w:r>
      <w:r w:rsidRPr="00B25A6C">
        <w:rPr>
          <w:rFonts w:asciiTheme="minorHAnsi" w:hAnsiTheme="minorHAnsi" w:cstheme="minorHAnsi"/>
          <w:color w:val="FF0000"/>
        </w:rPr>
        <w:t xml:space="preserve">COVID-19. </w:t>
      </w:r>
    </w:p>
    <w:p w14:paraId="322279C8" w14:textId="17A0AC6B" w:rsidR="00ED66A5" w:rsidRPr="00B25A6C" w:rsidRDefault="00ED66A5" w:rsidP="00ED66A5">
      <w:pPr>
        <w:pStyle w:val="Default"/>
        <w:rPr>
          <w:rFonts w:asciiTheme="minorHAnsi" w:hAnsiTheme="minorHAnsi" w:cstheme="minorHAnsi"/>
          <w:color w:val="FF0000"/>
        </w:rPr>
      </w:pPr>
      <w:r w:rsidRPr="00B25A6C">
        <w:rPr>
          <w:rFonts w:asciiTheme="minorHAnsi" w:hAnsiTheme="minorHAnsi" w:cstheme="minorHAnsi"/>
          <w:b/>
          <w:bCs/>
          <w:color w:val="FF0000"/>
        </w:rPr>
        <w:lastRenderedPageBreak/>
        <w:t xml:space="preserve">Timeframe: </w:t>
      </w:r>
      <w:r w:rsidRPr="00B25A6C">
        <w:rPr>
          <w:rFonts w:asciiTheme="minorHAnsi" w:hAnsiTheme="minorHAnsi" w:cstheme="minorHAnsi"/>
          <w:color w:val="FF0000"/>
        </w:rPr>
        <w:t>The requirement to only rely on self-certification of income if source and third-party documentation of income are unobtainable is waived through 12/31/20</w:t>
      </w:r>
    </w:p>
    <w:p w14:paraId="26790FD5" w14:textId="0D611FCB" w:rsidR="00ED66A5" w:rsidRPr="00B25A6C" w:rsidRDefault="00ED66A5" w:rsidP="00ED66A5">
      <w:pPr>
        <w:pStyle w:val="Default"/>
        <w:rPr>
          <w:rFonts w:asciiTheme="minorHAnsi" w:hAnsiTheme="minorHAnsi" w:cstheme="minorHAnsi"/>
          <w:b/>
          <w:bCs/>
          <w:color w:val="FF0000"/>
        </w:rPr>
      </w:pPr>
    </w:p>
    <w:p w14:paraId="1BD2E227" w14:textId="3FCDDEAC" w:rsidR="00ED66A5" w:rsidRDefault="00ED66A5" w:rsidP="00B25A6C">
      <w:pPr>
        <w:pStyle w:val="Default"/>
        <w:rPr>
          <w:rFonts w:asciiTheme="minorHAnsi" w:hAnsiTheme="minorHAnsi" w:cstheme="minorHAnsi"/>
          <w:color w:val="FF0000"/>
        </w:rPr>
      </w:pPr>
      <w:r w:rsidRPr="00B25A6C">
        <w:rPr>
          <w:rFonts w:asciiTheme="minorHAnsi" w:hAnsiTheme="minorHAnsi" w:cstheme="minorHAnsi"/>
          <w:b/>
          <w:bCs/>
          <w:color w:val="FF0000"/>
        </w:rPr>
        <w:t>Procedure:</w:t>
      </w:r>
      <w:r w:rsidR="00B25A6C">
        <w:rPr>
          <w:rFonts w:asciiTheme="minorHAnsi" w:hAnsiTheme="minorHAnsi" w:cstheme="minorHAnsi"/>
          <w:b/>
          <w:bCs/>
          <w:color w:val="FF0000"/>
        </w:rPr>
        <w:t xml:space="preserve"> </w:t>
      </w:r>
      <w:r w:rsidR="00B25A6C" w:rsidRPr="00B25A6C">
        <w:rPr>
          <w:rFonts w:asciiTheme="minorHAnsi" w:hAnsiTheme="minorHAnsi" w:cstheme="minorHAnsi"/>
          <w:color w:val="FF0000"/>
        </w:rPr>
        <w:t xml:space="preserve">When determined by an authorized program manager that </w:t>
      </w:r>
      <w:r w:rsidR="00B25A6C">
        <w:rPr>
          <w:rFonts w:asciiTheme="minorHAnsi" w:hAnsiTheme="minorHAnsi" w:cstheme="minorHAnsi"/>
          <w:color w:val="FF0000"/>
        </w:rPr>
        <w:t xml:space="preserve">source and third-party </w:t>
      </w:r>
      <w:r w:rsidR="00B25A6C" w:rsidRPr="00B25A6C">
        <w:rPr>
          <w:rFonts w:asciiTheme="minorHAnsi" w:hAnsiTheme="minorHAnsi" w:cstheme="minorHAnsi"/>
          <w:color w:val="FF0000"/>
        </w:rPr>
        <w:t xml:space="preserve">documentation of income </w:t>
      </w:r>
      <w:r w:rsidR="00B25A6C">
        <w:rPr>
          <w:rFonts w:asciiTheme="minorHAnsi" w:hAnsiTheme="minorHAnsi" w:cstheme="minorHAnsi"/>
          <w:color w:val="FF0000"/>
        </w:rPr>
        <w:t>is</w:t>
      </w:r>
      <w:r w:rsidR="00B25A6C" w:rsidRPr="00B25A6C">
        <w:rPr>
          <w:rFonts w:asciiTheme="minorHAnsi" w:hAnsiTheme="minorHAnsi" w:cstheme="minorHAnsi"/>
          <w:color w:val="FF0000"/>
        </w:rPr>
        <w:t xml:space="preserve"> difficult to obtain as a result of COVID-19 pandemic</w:t>
      </w:r>
      <w:r w:rsidR="00B25A6C">
        <w:rPr>
          <w:rFonts w:asciiTheme="minorHAnsi" w:hAnsiTheme="minorHAnsi" w:cstheme="minorHAnsi"/>
          <w:color w:val="FF0000"/>
        </w:rPr>
        <w:t xml:space="preserve">, </w:t>
      </w:r>
      <w:r w:rsidRPr="00B25A6C">
        <w:rPr>
          <w:rFonts w:asciiTheme="minorHAnsi" w:hAnsiTheme="minorHAnsi" w:cstheme="minorHAnsi"/>
          <w:color w:val="FF0000"/>
        </w:rPr>
        <w:t>the recipient or subrecipient may rely on program participant self-certification of income</w:t>
      </w:r>
      <w:r w:rsidR="00B25A6C">
        <w:rPr>
          <w:rFonts w:asciiTheme="minorHAnsi" w:hAnsiTheme="minorHAnsi" w:cstheme="minorHAnsi"/>
          <w:color w:val="FF0000"/>
        </w:rPr>
        <w:t xml:space="preserve">.  </w:t>
      </w:r>
    </w:p>
    <w:p w14:paraId="57E45023" w14:textId="6CE33EE1" w:rsidR="00B25A6C" w:rsidRDefault="00B25A6C" w:rsidP="00B25A6C">
      <w:pPr>
        <w:pStyle w:val="Default"/>
        <w:rPr>
          <w:rFonts w:asciiTheme="minorHAnsi" w:hAnsiTheme="minorHAnsi" w:cstheme="minorHAnsi"/>
          <w:color w:val="FF0000"/>
        </w:rPr>
      </w:pPr>
    </w:p>
    <w:p w14:paraId="64F03AB7" w14:textId="35DDBB29" w:rsidR="00B25A6C" w:rsidRPr="001E0CBC" w:rsidRDefault="00B25A6C" w:rsidP="001E0CBC">
      <w:pPr>
        <w:pStyle w:val="CM23"/>
        <w:spacing w:after="277" w:line="278" w:lineRule="atLeast"/>
        <w:jc w:val="both"/>
        <w:rPr>
          <w:rFonts w:asciiTheme="minorHAnsi" w:hAnsiTheme="minorHAnsi" w:cstheme="minorHAnsi"/>
          <w:color w:val="FF0000"/>
        </w:rPr>
      </w:pPr>
      <w:r w:rsidRPr="00B25A6C">
        <w:rPr>
          <w:rFonts w:asciiTheme="minorHAnsi" w:hAnsiTheme="minorHAnsi" w:cstheme="minorHAnsi"/>
          <w:b/>
          <w:bCs/>
          <w:color w:val="FF0000"/>
        </w:rPr>
        <w:t>Documen</w:t>
      </w:r>
      <w:r>
        <w:rPr>
          <w:rFonts w:asciiTheme="minorHAnsi" w:hAnsiTheme="minorHAnsi" w:cstheme="minorHAnsi"/>
          <w:b/>
          <w:bCs/>
          <w:color w:val="FF0000"/>
        </w:rPr>
        <w:t>t</w:t>
      </w:r>
      <w:r w:rsidRPr="00B25A6C">
        <w:rPr>
          <w:rFonts w:asciiTheme="minorHAnsi" w:hAnsiTheme="minorHAnsi" w:cstheme="minorHAnsi"/>
          <w:b/>
          <w:bCs/>
          <w:color w:val="FF0000"/>
        </w:rPr>
        <w:t>ation:</w:t>
      </w:r>
      <w:r>
        <w:rPr>
          <w:rFonts w:asciiTheme="minorHAnsi" w:hAnsiTheme="minorHAnsi" w:cstheme="minorHAnsi"/>
          <w:b/>
          <w:bCs/>
          <w:color w:val="FF0000"/>
        </w:rPr>
        <w:t xml:space="preserve">  </w:t>
      </w:r>
      <w:r w:rsidRPr="00B25A6C">
        <w:rPr>
          <w:rFonts w:asciiTheme="minorHAnsi" w:hAnsiTheme="minorHAnsi" w:cstheme="minorHAnsi"/>
          <w:color w:val="FF0000"/>
        </w:rPr>
        <w:t xml:space="preserve">The recipient or subrecipient of CoC funds will maintain in the </w:t>
      </w:r>
      <w:proofErr w:type="gramStart"/>
      <w:r w:rsidRPr="00B25A6C">
        <w:rPr>
          <w:rFonts w:asciiTheme="minorHAnsi" w:hAnsiTheme="minorHAnsi" w:cstheme="minorHAnsi"/>
          <w:color w:val="FF0000"/>
        </w:rPr>
        <w:t>in</w:t>
      </w:r>
      <w:r>
        <w:rPr>
          <w:rFonts w:asciiTheme="minorHAnsi" w:hAnsiTheme="minorHAnsi" w:cstheme="minorHAnsi"/>
          <w:color w:val="FF0000"/>
        </w:rPr>
        <w:t xml:space="preserve"> </w:t>
      </w:r>
      <w:r w:rsidRPr="00B25A6C">
        <w:rPr>
          <w:rFonts w:asciiTheme="minorHAnsi" w:hAnsiTheme="minorHAnsi" w:cstheme="minorHAnsi"/>
          <w:color w:val="FF0000"/>
        </w:rPr>
        <w:t>participant</w:t>
      </w:r>
      <w:proofErr w:type="gramEnd"/>
      <w:r w:rsidRPr="00B25A6C">
        <w:rPr>
          <w:rFonts w:asciiTheme="minorHAnsi" w:hAnsiTheme="minorHAnsi" w:cstheme="minorHAnsi"/>
          <w:color w:val="FF0000"/>
        </w:rPr>
        <w:t xml:space="preserve"> files</w:t>
      </w:r>
      <w:r>
        <w:rPr>
          <w:rFonts w:asciiTheme="minorHAnsi" w:hAnsiTheme="minorHAnsi" w:cstheme="minorHAnsi"/>
          <w:b/>
          <w:bCs/>
          <w:color w:val="FF0000"/>
        </w:rPr>
        <w:t xml:space="preserve"> </w:t>
      </w:r>
      <w:r w:rsidRPr="00B25A6C">
        <w:rPr>
          <w:rFonts w:asciiTheme="minorHAnsi" w:hAnsiTheme="minorHAnsi" w:cstheme="minorHAnsi"/>
          <w:color w:val="FF0000"/>
        </w:rPr>
        <w:t xml:space="preserve">a </w:t>
      </w:r>
      <w:r>
        <w:rPr>
          <w:rFonts w:asciiTheme="minorHAnsi" w:hAnsiTheme="minorHAnsi" w:cstheme="minorHAnsi"/>
          <w:color w:val="FF0000"/>
        </w:rPr>
        <w:t xml:space="preserve">written </w:t>
      </w:r>
      <w:r w:rsidRPr="00B25A6C">
        <w:rPr>
          <w:rFonts w:asciiTheme="minorHAnsi" w:hAnsiTheme="minorHAnsi" w:cstheme="minorHAnsi"/>
          <w:color w:val="FF0000"/>
        </w:rPr>
        <w:t>self</w:t>
      </w:r>
      <w:r>
        <w:rPr>
          <w:rFonts w:asciiTheme="minorHAnsi" w:hAnsiTheme="minorHAnsi" w:cstheme="minorHAnsi"/>
          <w:color w:val="FF0000"/>
        </w:rPr>
        <w:t>-</w:t>
      </w:r>
      <w:r w:rsidRPr="00B25A6C">
        <w:rPr>
          <w:rFonts w:asciiTheme="minorHAnsi" w:hAnsiTheme="minorHAnsi" w:cstheme="minorHAnsi"/>
          <w:color w:val="FF0000"/>
        </w:rPr>
        <w:t xml:space="preserve">certification of income </w:t>
      </w:r>
      <w:r>
        <w:rPr>
          <w:rFonts w:asciiTheme="minorHAnsi" w:hAnsiTheme="minorHAnsi" w:cstheme="minorHAnsi"/>
          <w:color w:val="FF0000"/>
        </w:rPr>
        <w:t>signed and dated by the applicable participant.  That certification will specify the amount and source of all</w:t>
      </w:r>
      <w:r w:rsidRPr="00B25A6C">
        <w:rPr>
          <w:rFonts w:asciiTheme="minorHAnsi" w:hAnsiTheme="minorHAnsi" w:cstheme="minorHAnsi"/>
          <w:color w:val="FF0000"/>
        </w:rPr>
        <w:t xml:space="preserve"> income that the program participant is reasonably expected to receive over the 3-month period following the </w:t>
      </w:r>
      <w:r>
        <w:rPr>
          <w:rFonts w:asciiTheme="minorHAnsi" w:hAnsiTheme="minorHAnsi" w:cstheme="minorHAnsi"/>
          <w:color w:val="FF0000"/>
        </w:rPr>
        <w:t xml:space="preserve">income </w:t>
      </w:r>
      <w:r w:rsidRPr="00B25A6C">
        <w:rPr>
          <w:rFonts w:asciiTheme="minorHAnsi" w:hAnsiTheme="minorHAnsi" w:cstheme="minorHAnsi"/>
          <w:color w:val="FF0000"/>
        </w:rPr>
        <w:t xml:space="preserve">evaluation. </w:t>
      </w:r>
      <w:r>
        <w:rPr>
          <w:rFonts w:asciiTheme="minorHAnsi" w:hAnsiTheme="minorHAnsi" w:cstheme="minorHAnsi"/>
          <w:color w:val="FF0000"/>
        </w:rPr>
        <w:t xml:space="preserve">For participants certifying that they have no income, </w:t>
      </w:r>
      <w:r w:rsidRPr="00B25A6C">
        <w:rPr>
          <w:rFonts w:asciiTheme="minorHAnsi" w:hAnsiTheme="minorHAnsi" w:cstheme="minorHAnsi"/>
          <w:color w:val="FF0000"/>
        </w:rPr>
        <w:t>recipient or subrecipient of CoC funds will maintain in the in</w:t>
      </w:r>
      <w:r>
        <w:rPr>
          <w:rFonts w:asciiTheme="minorHAnsi" w:hAnsiTheme="minorHAnsi" w:cstheme="minorHAnsi"/>
          <w:color w:val="FF0000"/>
        </w:rPr>
        <w:t xml:space="preserve"> </w:t>
      </w:r>
      <w:r w:rsidRPr="00B25A6C">
        <w:rPr>
          <w:rFonts w:asciiTheme="minorHAnsi" w:hAnsiTheme="minorHAnsi" w:cstheme="minorHAnsi"/>
          <w:color w:val="FF0000"/>
        </w:rPr>
        <w:t>participant files</w:t>
      </w:r>
      <w:r>
        <w:rPr>
          <w:rFonts w:asciiTheme="minorHAnsi" w:hAnsiTheme="minorHAnsi" w:cstheme="minorHAnsi"/>
          <w:b/>
          <w:bCs/>
          <w:color w:val="FF0000"/>
        </w:rPr>
        <w:t xml:space="preserve"> </w:t>
      </w:r>
      <w:r w:rsidRPr="00B25A6C">
        <w:rPr>
          <w:rFonts w:asciiTheme="minorHAnsi" w:hAnsiTheme="minorHAnsi" w:cstheme="minorHAnsi"/>
          <w:color w:val="FF0000"/>
        </w:rPr>
        <w:t xml:space="preserve">a </w:t>
      </w:r>
      <w:r>
        <w:rPr>
          <w:rFonts w:asciiTheme="minorHAnsi" w:hAnsiTheme="minorHAnsi" w:cstheme="minorHAnsi"/>
          <w:color w:val="FF0000"/>
        </w:rPr>
        <w:t xml:space="preserve">written </w:t>
      </w:r>
      <w:r w:rsidRPr="00B25A6C">
        <w:rPr>
          <w:rFonts w:asciiTheme="minorHAnsi" w:hAnsiTheme="minorHAnsi" w:cstheme="minorHAnsi"/>
          <w:color w:val="FF0000"/>
        </w:rPr>
        <w:t>self</w:t>
      </w:r>
      <w:r>
        <w:rPr>
          <w:rFonts w:asciiTheme="minorHAnsi" w:hAnsiTheme="minorHAnsi" w:cstheme="minorHAnsi"/>
          <w:color w:val="FF0000"/>
        </w:rPr>
        <w:t>-</w:t>
      </w:r>
      <w:r w:rsidRPr="00B25A6C">
        <w:rPr>
          <w:rFonts w:asciiTheme="minorHAnsi" w:hAnsiTheme="minorHAnsi" w:cstheme="minorHAnsi"/>
          <w:color w:val="FF0000"/>
        </w:rPr>
        <w:t>certification</w:t>
      </w:r>
      <w:r>
        <w:rPr>
          <w:rFonts w:asciiTheme="minorHAnsi" w:hAnsiTheme="minorHAnsi" w:cstheme="minorHAnsi"/>
          <w:color w:val="FF0000"/>
        </w:rPr>
        <w:t xml:space="preserve"> that includes all information as shown in th</w:t>
      </w:r>
      <w:r w:rsidR="00C26B6B">
        <w:rPr>
          <w:rFonts w:asciiTheme="minorHAnsi" w:hAnsiTheme="minorHAnsi" w:cstheme="minorHAnsi"/>
          <w:color w:val="FF0000"/>
        </w:rPr>
        <w:t>is</w:t>
      </w:r>
      <w:r>
        <w:rPr>
          <w:rFonts w:asciiTheme="minorHAnsi" w:hAnsiTheme="minorHAnsi" w:cstheme="minorHAnsi"/>
          <w:color w:val="FF0000"/>
        </w:rPr>
        <w:t xml:space="preserve"> </w:t>
      </w:r>
      <w:hyperlink r:id="rId20" w:history="1">
        <w:r w:rsidRPr="00C26B6B">
          <w:rPr>
            <w:rStyle w:val="Hyperlink"/>
            <w:rFonts w:asciiTheme="minorHAnsi" w:hAnsiTheme="minorHAnsi" w:cstheme="minorHAnsi"/>
          </w:rPr>
          <w:t>sample v</w:t>
        </w:r>
        <w:r w:rsidR="00C26B6B" w:rsidRPr="00C26B6B">
          <w:rPr>
            <w:rStyle w:val="Hyperlink"/>
            <w:rFonts w:asciiTheme="minorHAnsi" w:hAnsiTheme="minorHAnsi" w:cstheme="minorHAnsi"/>
          </w:rPr>
          <w:t>erification of no income form</w:t>
        </w:r>
      </w:hyperlink>
      <w:r w:rsidR="00C26B6B">
        <w:rPr>
          <w:rFonts w:asciiTheme="minorHAnsi" w:hAnsiTheme="minorHAnsi" w:cstheme="minorHAnsi"/>
          <w:color w:val="FF0000"/>
        </w:rPr>
        <w:t xml:space="preserve">. </w:t>
      </w:r>
    </w:p>
    <w:p w14:paraId="136C60E5" w14:textId="77777777" w:rsidR="00B25A6C" w:rsidRDefault="00B25A6C" w:rsidP="00B25A6C">
      <w:pPr>
        <w:pStyle w:val="Default"/>
        <w:rPr>
          <w:rFonts w:asciiTheme="minorHAnsi" w:hAnsiTheme="minorHAnsi" w:cstheme="minorHAnsi"/>
          <w:color w:val="FF0000"/>
        </w:rPr>
      </w:pPr>
    </w:p>
    <w:p w14:paraId="6327C142" w14:textId="77777777" w:rsidR="001E0CBC" w:rsidRDefault="001E0CBC" w:rsidP="001E0CBC">
      <w:pPr>
        <w:pStyle w:val="Heading2"/>
      </w:pPr>
      <w:bookmarkStart w:id="19" w:name="_Toc52973341"/>
      <w:r>
        <w:t>12.  Suitable dwelling size (Applies to CoC RRH)</w:t>
      </w:r>
      <w:bookmarkEnd w:id="19"/>
    </w:p>
    <w:p w14:paraId="392404ED" w14:textId="77777777" w:rsidR="001E0CBC" w:rsidRDefault="001E0CBC" w:rsidP="001E0CBC">
      <w:pPr>
        <w:autoSpaceDE w:val="0"/>
        <w:autoSpaceDN w:val="0"/>
        <w:adjustRightInd w:val="0"/>
        <w:spacing w:after="0" w:line="276" w:lineRule="atLeast"/>
        <w:rPr>
          <w:rFonts w:asciiTheme="majorHAnsi" w:eastAsiaTheme="majorEastAsia" w:hAnsiTheme="majorHAnsi" w:cstheme="majorBidi"/>
          <w:color w:val="2F5496" w:themeColor="accent1" w:themeShade="BF"/>
          <w:sz w:val="26"/>
          <w:szCs w:val="26"/>
        </w:rPr>
      </w:pPr>
    </w:p>
    <w:p w14:paraId="5C019ACC" w14:textId="444B008F" w:rsidR="001E0CBC" w:rsidRPr="007E42DF" w:rsidRDefault="001E0CBC" w:rsidP="007E42DF">
      <w:pPr>
        <w:autoSpaceDE w:val="0"/>
        <w:autoSpaceDN w:val="0"/>
        <w:adjustRightInd w:val="0"/>
        <w:spacing w:after="0" w:line="276" w:lineRule="atLeast"/>
        <w:jc w:val="both"/>
        <w:rPr>
          <w:rFonts w:cstheme="minorHAnsi"/>
          <w:color w:val="FF0000"/>
          <w:sz w:val="24"/>
          <w:szCs w:val="24"/>
        </w:rPr>
      </w:pPr>
      <w:r w:rsidRPr="001E0CBC">
        <w:rPr>
          <w:rFonts w:cstheme="minorHAnsi"/>
          <w:b/>
          <w:bCs/>
          <w:color w:val="FF0000"/>
          <w:sz w:val="24"/>
          <w:szCs w:val="24"/>
        </w:rPr>
        <w:t xml:space="preserve">Requirement: </w:t>
      </w:r>
      <w:r w:rsidRPr="001E0CBC">
        <w:rPr>
          <w:rFonts w:cstheme="minorHAnsi"/>
          <w:color w:val="FF0000"/>
          <w:sz w:val="24"/>
          <w:szCs w:val="24"/>
        </w:rPr>
        <w:t xml:space="preserve">Units funded with CoC Program or YHDP funds must have at least one bedroom or living/sleeping room for each two persons. </w:t>
      </w:r>
    </w:p>
    <w:p w14:paraId="0C61362F" w14:textId="08686BEA" w:rsidR="00290BEA" w:rsidRPr="007E42DF" w:rsidRDefault="00290BEA" w:rsidP="007E42DF">
      <w:pPr>
        <w:autoSpaceDE w:val="0"/>
        <w:autoSpaceDN w:val="0"/>
        <w:adjustRightInd w:val="0"/>
        <w:spacing w:after="0" w:line="276" w:lineRule="atLeast"/>
        <w:jc w:val="both"/>
        <w:rPr>
          <w:rFonts w:cstheme="minorHAnsi"/>
          <w:color w:val="FF0000"/>
          <w:sz w:val="24"/>
          <w:szCs w:val="24"/>
        </w:rPr>
      </w:pPr>
    </w:p>
    <w:p w14:paraId="64FC7CA8" w14:textId="3A6364FD" w:rsidR="00290BEA" w:rsidRPr="007E42DF" w:rsidRDefault="00290BEA" w:rsidP="007E42DF">
      <w:pPr>
        <w:pStyle w:val="Default"/>
        <w:jc w:val="both"/>
        <w:rPr>
          <w:rFonts w:asciiTheme="minorHAnsi" w:hAnsiTheme="minorHAnsi" w:cstheme="minorHAnsi"/>
          <w:color w:val="FF0000"/>
        </w:rPr>
      </w:pPr>
      <w:r w:rsidRPr="007E42DF">
        <w:rPr>
          <w:rFonts w:asciiTheme="minorHAnsi" w:hAnsiTheme="minorHAnsi" w:cstheme="minorHAnsi"/>
          <w:b/>
          <w:bCs/>
          <w:color w:val="FF0000"/>
        </w:rPr>
        <w:t xml:space="preserve">Citation: </w:t>
      </w:r>
      <w:r w:rsidRPr="007E42DF">
        <w:rPr>
          <w:rFonts w:asciiTheme="minorHAnsi" w:hAnsiTheme="minorHAnsi" w:cstheme="minorHAnsi"/>
          <w:color w:val="FF0000"/>
        </w:rPr>
        <w:t>24 CFR 578.75(c) and 24 CFR982.401 (d)(2)(ii) as required by 24 CFR 788.75 (b)</w:t>
      </w:r>
    </w:p>
    <w:p w14:paraId="122604F2" w14:textId="579872E2" w:rsidR="00290BEA" w:rsidRPr="007E42DF" w:rsidRDefault="00290BEA" w:rsidP="007E42DF">
      <w:pPr>
        <w:pStyle w:val="Default"/>
        <w:jc w:val="both"/>
        <w:rPr>
          <w:rFonts w:asciiTheme="minorHAnsi" w:hAnsiTheme="minorHAnsi" w:cstheme="minorHAnsi"/>
          <w:color w:val="FF0000"/>
        </w:rPr>
      </w:pPr>
    </w:p>
    <w:p w14:paraId="0E7C2012" w14:textId="2B5103B3" w:rsidR="00290BEA" w:rsidRPr="007E42DF" w:rsidRDefault="00290BEA" w:rsidP="007E42DF">
      <w:pPr>
        <w:pStyle w:val="Default"/>
        <w:jc w:val="both"/>
        <w:rPr>
          <w:rFonts w:asciiTheme="minorHAnsi" w:hAnsiTheme="minorHAnsi" w:cstheme="minorHAnsi"/>
          <w:color w:val="FF0000"/>
        </w:rPr>
      </w:pPr>
      <w:r w:rsidRPr="007E42DF">
        <w:rPr>
          <w:rFonts w:asciiTheme="minorHAnsi" w:hAnsiTheme="minorHAnsi" w:cstheme="minorHAnsi"/>
          <w:b/>
          <w:bCs/>
          <w:color w:val="FF0000"/>
        </w:rPr>
        <w:t xml:space="preserve">Justification: </w:t>
      </w:r>
      <w:r w:rsidRPr="007E42DF">
        <w:rPr>
          <w:rFonts w:asciiTheme="minorHAnsi" w:hAnsiTheme="minorHAnsi" w:cstheme="minorHAnsi"/>
          <w:color w:val="FF0000"/>
        </w:rPr>
        <w:t>Households experiencing homelessness are often unable to afford the limited supply of affordable housing and this has been made even more challenging due to the economic impact of COVID-19.  Additionally, moving to housing instead of congregate shelter reduces the spread of COVID-19.  Waiving this requirement will allow households to obtain permanent housing that is affordable and that they assess is adequate.</w:t>
      </w:r>
    </w:p>
    <w:p w14:paraId="5E07C391" w14:textId="6AE66DD6" w:rsidR="00290BEA" w:rsidRPr="007E42DF" w:rsidRDefault="00290BEA" w:rsidP="007E42DF">
      <w:pPr>
        <w:pStyle w:val="Default"/>
        <w:jc w:val="both"/>
        <w:rPr>
          <w:rFonts w:asciiTheme="minorHAnsi" w:hAnsiTheme="minorHAnsi" w:cstheme="minorHAnsi"/>
          <w:color w:val="FF0000"/>
        </w:rPr>
      </w:pPr>
    </w:p>
    <w:p w14:paraId="2510949E" w14:textId="1C47C736" w:rsidR="00290BEA" w:rsidRPr="007E42DF" w:rsidRDefault="00290BEA" w:rsidP="007E42DF">
      <w:pPr>
        <w:pStyle w:val="Default"/>
        <w:jc w:val="both"/>
        <w:rPr>
          <w:rFonts w:asciiTheme="minorHAnsi" w:hAnsiTheme="minorHAnsi" w:cstheme="minorHAnsi"/>
          <w:b/>
          <w:bCs/>
          <w:color w:val="FF0000"/>
        </w:rPr>
      </w:pPr>
      <w:r w:rsidRPr="007E42DF">
        <w:rPr>
          <w:rFonts w:asciiTheme="minorHAnsi" w:hAnsiTheme="minorHAnsi" w:cstheme="minorHAnsi"/>
          <w:b/>
          <w:bCs/>
          <w:color w:val="FF0000"/>
        </w:rPr>
        <w:t xml:space="preserve">Timeframe:  </w:t>
      </w:r>
      <w:r w:rsidRPr="007E42DF">
        <w:rPr>
          <w:rFonts w:asciiTheme="minorHAnsi" w:hAnsiTheme="minorHAnsi" w:cstheme="minorHAnsi"/>
          <w:color w:val="FF0000"/>
        </w:rPr>
        <w:t>This requirement is waived for</w:t>
      </w:r>
      <w:r w:rsidRPr="007E42DF">
        <w:rPr>
          <w:rFonts w:asciiTheme="minorHAnsi" w:hAnsiTheme="minorHAnsi" w:cstheme="minorHAnsi"/>
          <w:b/>
          <w:bCs/>
          <w:color w:val="FF0000"/>
        </w:rPr>
        <w:t xml:space="preserve"> </w:t>
      </w:r>
      <w:r w:rsidRPr="007E42DF">
        <w:rPr>
          <w:rFonts w:asciiTheme="minorHAnsi" w:hAnsiTheme="minorHAnsi" w:cstheme="minorHAnsi"/>
          <w:color w:val="FF0000"/>
        </w:rPr>
        <w:t>RRH leases executed between 9/30/20 and 12/31/20 and extends until the later of 1) the end of the initial term of the lease; or 2)12/31/20.</w:t>
      </w:r>
    </w:p>
    <w:p w14:paraId="57521656" w14:textId="77777777" w:rsidR="00290BEA" w:rsidRPr="007E42DF" w:rsidRDefault="00290BEA" w:rsidP="007E42DF">
      <w:pPr>
        <w:pStyle w:val="Default"/>
        <w:jc w:val="both"/>
        <w:rPr>
          <w:rFonts w:asciiTheme="minorHAnsi" w:hAnsiTheme="minorHAnsi" w:cstheme="minorHAnsi"/>
          <w:b/>
          <w:bCs/>
          <w:color w:val="FF0000"/>
        </w:rPr>
      </w:pPr>
    </w:p>
    <w:p w14:paraId="6487760B" w14:textId="29EF8FBD" w:rsidR="00290BEA" w:rsidRPr="007E42DF" w:rsidRDefault="00290BEA" w:rsidP="007E42DF">
      <w:pPr>
        <w:pStyle w:val="Default"/>
        <w:jc w:val="both"/>
        <w:rPr>
          <w:rFonts w:asciiTheme="minorHAnsi" w:hAnsiTheme="minorHAnsi" w:cstheme="minorHAnsi"/>
          <w:color w:val="FF0000"/>
        </w:rPr>
      </w:pPr>
      <w:r w:rsidRPr="007E42DF">
        <w:rPr>
          <w:rFonts w:asciiTheme="minorHAnsi" w:hAnsiTheme="minorHAnsi" w:cstheme="minorHAnsi"/>
          <w:b/>
          <w:bCs/>
          <w:color w:val="FF0000"/>
        </w:rPr>
        <w:t xml:space="preserve">Procedure: </w:t>
      </w:r>
      <w:r w:rsidRPr="007E42DF">
        <w:rPr>
          <w:rFonts w:asciiTheme="minorHAnsi" w:hAnsiTheme="minorHAnsi" w:cstheme="minorHAnsi"/>
          <w:color w:val="FF0000"/>
        </w:rPr>
        <w:t xml:space="preserve">The recipient or subrecipient will work with project participants to select housing that the participant determines is suitable to meet his or her needs.  </w:t>
      </w:r>
      <w:r w:rsidR="00CD5A05" w:rsidRPr="007E42DF">
        <w:rPr>
          <w:rFonts w:asciiTheme="minorHAnsi" w:hAnsiTheme="minorHAnsi" w:cstheme="minorHAnsi"/>
          <w:color w:val="FF0000"/>
        </w:rPr>
        <w:t>The recipient or subrecipient will</w:t>
      </w:r>
      <w:r w:rsidRPr="007E42DF">
        <w:rPr>
          <w:rFonts w:asciiTheme="minorHAnsi" w:hAnsiTheme="minorHAnsi" w:cstheme="minorHAnsi"/>
          <w:color w:val="FF0000"/>
        </w:rPr>
        <w:t xml:space="preserve"> </w:t>
      </w:r>
      <w:r w:rsidR="00CD5A05" w:rsidRPr="007E42DF">
        <w:rPr>
          <w:rFonts w:asciiTheme="minorHAnsi" w:hAnsiTheme="minorHAnsi" w:cstheme="minorHAnsi"/>
          <w:color w:val="FF0000"/>
        </w:rPr>
        <w:t xml:space="preserve">ensure that the recipient has the information necessary to make an informed choice, for example, by </w:t>
      </w:r>
      <w:r w:rsidRPr="007E42DF">
        <w:rPr>
          <w:rFonts w:asciiTheme="minorHAnsi" w:hAnsiTheme="minorHAnsi" w:cstheme="minorHAnsi"/>
          <w:color w:val="FF0000"/>
        </w:rPr>
        <w:t xml:space="preserve">providing information about risks associated with </w:t>
      </w:r>
      <w:r w:rsidR="002370CF" w:rsidRPr="007E42DF">
        <w:rPr>
          <w:rFonts w:asciiTheme="minorHAnsi" w:hAnsiTheme="minorHAnsi" w:cstheme="minorHAnsi"/>
          <w:color w:val="FF0000"/>
        </w:rPr>
        <w:t>crowding, particularly for those at high-risk of serious complications related to COVID-19</w:t>
      </w:r>
      <w:r w:rsidR="00CD5A05" w:rsidRPr="007E42DF">
        <w:rPr>
          <w:rFonts w:asciiTheme="minorHAnsi" w:hAnsiTheme="minorHAnsi" w:cstheme="minorHAnsi"/>
          <w:color w:val="FF0000"/>
        </w:rPr>
        <w:t xml:space="preserve"> and by providing information about what will occur upon expiration of this waiver</w:t>
      </w:r>
      <w:r w:rsidR="002370CF" w:rsidRPr="007E42DF">
        <w:rPr>
          <w:rFonts w:asciiTheme="minorHAnsi" w:hAnsiTheme="minorHAnsi" w:cstheme="minorHAnsi"/>
          <w:color w:val="FF0000"/>
        </w:rPr>
        <w:t xml:space="preserve">.  Except when determined by the participant that the risks of other available alternatives are greater than the risks of leasing a unit that does not </w:t>
      </w:r>
      <w:r w:rsidR="00CD5A05" w:rsidRPr="001E0CBC">
        <w:rPr>
          <w:rFonts w:asciiTheme="minorHAnsi" w:hAnsiTheme="minorHAnsi" w:cstheme="minorHAnsi"/>
          <w:color w:val="FF0000"/>
        </w:rPr>
        <w:t>have at least one bedroom or living/sleeping room for each two persons</w:t>
      </w:r>
      <w:r w:rsidR="00CD5A05" w:rsidRPr="007E42DF">
        <w:rPr>
          <w:rFonts w:asciiTheme="minorHAnsi" w:hAnsiTheme="minorHAnsi" w:cstheme="minorHAnsi"/>
          <w:color w:val="FF0000"/>
        </w:rPr>
        <w:t xml:space="preserve">, the recipient or subrecipient will apply this waiver for only units that will house one family household.  As determined feasible by the recipient or subrecipient and desirable by the program participant, the recipient or subrecipient will assist the participant to partition units for privacy and distancing.  The </w:t>
      </w:r>
      <w:r w:rsidR="00CD5A05" w:rsidRPr="007E42DF">
        <w:rPr>
          <w:rFonts w:asciiTheme="minorHAnsi" w:hAnsiTheme="minorHAnsi" w:cstheme="minorHAnsi"/>
          <w:color w:val="FF0000"/>
        </w:rPr>
        <w:lastRenderedPageBreak/>
        <w:t>authorized program manager or another assigned supervisory staff person is responsible for ensuring that the project follows applicable state and local laws related to occupancy and safety.  Upon expiration of this waiver, for participants who remain enrolled in the RRH project, the recipient or subrecipient will assist the participant to secure an alternative housing unit that meets the usual CoC program suitable dwelling size requirements.</w:t>
      </w:r>
    </w:p>
    <w:p w14:paraId="3BC87DE8" w14:textId="77777777" w:rsidR="00290BEA" w:rsidRPr="007E42DF" w:rsidRDefault="00290BEA" w:rsidP="007E42DF">
      <w:pPr>
        <w:pStyle w:val="Default"/>
        <w:jc w:val="both"/>
        <w:rPr>
          <w:rFonts w:asciiTheme="minorHAnsi" w:hAnsiTheme="minorHAnsi" w:cstheme="minorHAnsi"/>
          <w:color w:val="FF0000"/>
        </w:rPr>
      </w:pPr>
    </w:p>
    <w:p w14:paraId="13DEC710" w14:textId="6D298939" w:rsidR="00290BEA" w:rsidRPr="007E42DF" w:rsidRDefault="00290BEA" w:rsidP="007E42DF">
      <w:pPr>
        <w:jc w:val="both"/>
        <w:rPr>
          <w:rFonts w:cstheme="minorHAnsi"/>
          <w:color w:val="FF0000"/>
          <w:sz w:val="24"/>
          <w:szCs w:val="24"/>
        </w:rPr>
      </w:pPr>
      <w:r w:rsidRPr="007E42DF">
        <w:rPr>
          <w:rFonts w:cstheme="minorHAnsi"/>
          <w:b/>
          <w:bCs/>
          <w:color w:val="FF0000"/>
          <w:sz w:val="24"/>
          <w:szCs w:val="24"/>
        </w:rPr>
        <w:t xml:space="preserve">Documentation:  </w:t>
      </w:r>
      <w:r w:rsidRPr="007E42DF">
        <w:rPr>
          <w:rFonts w:cstheme="minorHAnsi"/>
          <w:color w:val="FF0000"/>
          <w:sz w:val="24"/>
          <w:szCs w:val="24"/>
        </w:rPr>
        <w:t>The recipient or subrecipient of CoC funds will maintain in the participant files</w:t>
      </w:r>
      <w:r w:rsidR="007E42DF" w:rsidRPr="007E42DF">
        <w:rPr>
          <w:rFonts w:cstheme="minorHAnsi"/>
          <w:color w:val="FF0000"/>
          <w:sz w:val="24"/>
          <w:szCs w:val="24"/>
        </w:rPr>
        <w:t xml:space="preserve"> documentation that they provided information to help the participant make an informed choice.  When a participant selects a unit that does not meet typical CoC suitable dwelling size requirements, the participant or subrecipient will document that choice in the participant file.</w:t>
      </w:r>
    </w:p>
    <w:p w14:paraId="6D82505B" w14:textId="77777777" w:rsidR="007E42DF" w:rsidRPr="001E0CBC" w:rsidRDefault="007E42DF" w:rsidP="00290BEA">
      <w:pPr>
        <w:rPr>
          <w:rFonts w:eastAsiaTheme="majorEastAsia" w:cstheme="minorHAnsi"/>
          <w:color w:val="2F5496" w:themeColor="accent1" w:themeShade="BF"/>
          <w:sz w:val="24"/>
          <w:szCs w:val="24"/>
        </w:rPr>
      </w:pPr>
    </w:p>
    <w:p w14:paraId="01F1FB24" w14:textId="7008282E" w:rsidR="007E42DF" w:rsidRDefault="007E42DF" w:rsidP="00EC5E58">
      <w:pPr>
        <w:pStyle w:val="Heading2"/>
      </w:pPr>
      <w:bookmarkStart w:id="20" w:name="_Toc52973342"/>
      <w:r>
        <w:t>13. Retention of homeless status for up to 120 days for people exiting an institution (applies to all CoC Projects and ESG RRH)</w:t>
      </w:r>
      <w:bookmarkEnd w:id="20"/>
    </w:p>
    <w:p w14:paraId="2447A18D" w14:textId="7E4F7C37" w:rsidR="00DD3016" w:rsidRDefault="00DD3016" w:rsidP="007E42DF">
      <w:pPr>
        <w:jc w:val="both"/>
        <w:rPr>
          <w:color w:val="FF0000"/>
          <w:sz w:val="24"/>
          <w:szCs w:val="24"/>
        </w:rPr>
      </w:pPr>
      <w:r w:rsidRPr="00DD3016">
        <w:rPr>
          <w:b/>
          <w:bCs/>
          <w:color w:val="FF0000"/>
          <w:sz w:val="24"/>
          <w:szCs w:val="24"/>
        </w:rPr>
        <w:t>Requirement:</w:t>
      </w:r>
      <w:r>
        <w:rPr>
          <w:color w:val="FF0000"/>
          <w:sz w:val="24"/>
          <w:szCs w:val="24"/>
        </w:rPr>
        <w:t xml:space="preserve"> </w:t>
      </w:r>
      <w:r w:rsidR="007E42DF" w:rsidRPr="00DD3016">
        <w:rPr>
          <w:color w:val="FF0000"/>
          <w:sz w:val="24"/>
          <w:szCs w:val="24"/>
        </w:rPr>
        <w:t>Paragraph 1 of the HUD definition of homelessness</w:t>
      </w:r>
      <w:r>
        <w:rPr>
          <w:color w:val="FF0000"/>
          <w:sz w:val="24"/>
          <w:szCs w:val="24"/>
        </w:rPr>
        <w:t xml:space="preserve"> (i.e., literal homelessness) includes individuals exiting an institution where he or she resided for 90 days or less  when he or she also resided in an emergency shelter or place not meant for human habitation immediately before entering that institution.</w:t>
      </w:r>
    </w:p>
    <w:p w14:paraId="2AC17B7A" w14:textId="28770966" w:rsidR="00DD3016" w:rsidRDefault="00DD3016" w:rsidP="007E42DF">
      <w:pPr>
        <w:jc w:val="both"/>
        <w:rPr>
          <w:color w:val="FF0000"/>
          <w:sz w:val="24"/>
          <w:szCs w:val="24"/>
        </w:rPr>
      </w:pPr>
      <w:r w:rsidRPr="00DD3016">
        <w:rPr>
          <w:b/>
          <w:bCs/>
          <w:color w:val="FF0000"/>
          <w:sz w:val="24"/>
          <w:szCs w:val="24"/>
        </w:rPr>
        <w:t>Citation</w:t>
      </w:r>
      <w:r>
        <w:rPr>
          <w:b/>
          <w:bCs/>
          <w:color w:val="FF0000"/>
          <w:sz w:val="24"/>
          <w:szCs w:val="24"/>
        </w:rPr>
        <w:t xml:space="preserve">: </w:t>
      </w:r>
      <w:r w:rsidRPr="00DD3016">
        <w:rPr>
          <w:color w:val="FF0000"/>
          <w:sz w:val="24"/>
          <w:szCs w:val="24"/>
        </w:rPr>
        <w:t xml:space="preserve">24 CFR 578.3, definition </w:t>
      </w:r>
      <w:proofErr w:type="gramStart"/>
      <w:r w:rsidRPr="00DD3016">
        <w:rPr>
          <w:color w:val="FF0000"/>
          <w:sz w:val="24"/>
          <w:szCs w:val="24"/>
        </w:rPr>
        <w:t>of  “</w:t>
      </w:r>
      <w:proofErr w:type="gramEnd"/>
      <w:r w:rsidRPr="00DD3016">
        <w:rPr>
          <w:color w:val="FF0000"/>
          <w:sz w:val="24"/>
          <w:szCs w:val="24"/>
        </w:rPr>
        <w:t>homeless” (1)(iii)</w:t>
      </w:r>
    </w:p>
    <w:p w14:paraId="4CDF5850" w14:textId="0BC7A238" w:rsidR="004F6508" w:rsidRDefault="00DD3016" w:rsidP="007E42DF">
      <w:pPr>
        <w:jc w:val="both"/>
        <w:rPr>
          <w:color w:val="FF0000"/>
          <w:sz w:val="24"/>
          <w:szCs w:val="24"/>
        </w:rPr>
      </w:pPr>
      <w:r w:rsidRPr="00DD3016">
        <w:rPr>
          <w:b/>
          <w:bCs/>
          <w:color w:val="FF0000"/>
          <w:sz w:val="24"/>
          <w:szCs w:val="24"/>
        </w:rPr>
        <w:t>Explanation:</w:t>
      </w:r>
      <w:r w:rsidR="004F6508">
        <w:rPr>
          <w:b/>
          <w:bCs/>
          <w:color w:val="FF0000"/>
          <w:sz w:val="24"/>
          <w:szCs w:val="24"/>
        </w:rPr>
        <w:t xml:space="preserve"> </w:t>
      </w:r>
      <w:r w:rsidR="004F6508">
        <w:rPr>
          <w:color w:val="FF0000"/>
          <w:sz w:val="24"/>
          <w:szCs w:val="24"/>
        </w:rPr>
        <w:t>Individuals exiting an institution where he or she resided for 90 days or less when he or she also resided in an emergency shelter or place not meant for human habitation immediately before entering that institution are considered homeless  under the HUD definition.</w:t>
      </w:r>
    </w:p>
    <w:p w14:paraId="49BAF033" w14:textId="0A2B0617" w:rsidR="004F6508" w:rsidRDefault="004F6508" w:rsidP="007E42DF">
      <w:pPr>
        <w:jc w:val="both"/>
        <w:rPr>
          <w:color w:val="FF0000"/>
          <w:sz w:val="24"/>
          <w:szCs w:val="24"/>
        </w:rPr>
      </w:pPr>
      <w:r w:rsidRPr="004F6508">
        <w:rPr>
          <w:b/>
          <w:bCs/>
          <w:color w:val="FF0000"/>
          <w:sz w:val="24"/>
          <w:szCs w:val="24"/>
        </w:rPr>
        <w:t>Justification</w:t>
      </w:r>
      <w:r>
        <w:rPr>
          <w:b/>
          <w:bCs/>
          <w:color w:val="FF0000"/>
          <w:sz w:val="24"/>
          <w:szCs w:val="24"/>
        </w:rPr>
        <w:t xml:space="preserve">:  </w:t>
      </w:r>
      <w:r w:rsidRPr="004F6508">
        <w:rPr>
          <w:color w:val="FF0000"/>
          <w:sz w:val="24"/>
          <w:szCs w:val="24"/>
        </w:rPr>
        <w:t>Program participants may be residing in institutions for longer periods of time as a result of COVID-19 (e.g., due to a postponed court date, courts operating at reduced capacity</w:t>
      </w:r>
      <w:r>
        <w:rPr>
          <w:color w:val="FF0000"/>
          <w:sz w:val="24"/>
          <w:szCs w:val="24"/>
        </w:rPr>
        <w:t xml:space="preserve"> and longer hospital stays as a result of infection with COVID-19).  Allowing someone to retain their homeless status for </w:t>
      </w:r>
      <w:r w:rsidR="004D2ADF">
        <w:rPr>
          <w:color w:val="FF0000"/>
          <w:sz w:val="24"/>
          <w:szCs w:val="24"/>
        </w:rPr>
        <w:t xml:space="preserve">up to 120 </w:t>
      </w:r>
      <w:r>
        <w:rPr>
          <w:color w:val="FF0000"/>
          <w:sz w:val="24"/>
          <w:szCs w:val="24"/>
        </w:rPr>
        <w:t>days is necessary to prevent the spread of COVID-19.</w:t>
      </w:r>
    </w:p>
    <w:p w14:paraId="21AAC965" w14:textId="2FBE54B2" w:rsidR="004F6508" w:rsidRPr="004F6508" w:rsidRDefault="004F6508" w:rsidP="007E42DF">
      <w:pPr>
        <w:jc w:val="both"/>
        <w:rPr>
          <w:rFonts w:cstheme="minorHAnsi"/>
          <w:color w:val="FF0000"/>
          <w:sz w:val="24"/>
          <w:szCs w:val="24"/>
        </w:rPr>
      </w:pPr>
      <w:r w:rsidRPr="004F6508">
        <w:rPr>
          <w:rFonts w:cstheme="minorHAnsi"/>
          <w:b/>
          <w:bCs/>
          <w:color w:val="FF0000"/>
          <w:sz w:val="24"/>
          <w:szCs w:val="24"/>
        </w:rPr>
        <w:t xml:space="preserve">Timeframe: </w:t>
      </w:r>
      <w:r w:rsidRPr="004F6508">
        <w:rPr>
          <w:rFonts w:cstheme="minorHAnsi"/>
          <w:color w:val="FF0000"/>
          <w:sz w:val="24"/>
          <w:szCs w:val="24"/>
        </w:rPr>
        <w:t>This waiver is effective through 3/31/21.</w:t>
      </w:r>
    </w:p>
    <w:p w14:paraId="234BB16E" w14:textId="77777777" w:rsidR="004D2ADF" w:rsidRPr="004D2ADF" w:rsidRDefault="004F6508" w:rsidP="007E42DF">
      <w:pPr>
        <w:jc w:val="both"/>
        <w:rPr>
          <w:rFonts w:cstheme="minorHAnsi"/>
          <w:b/>
          <w:bCs/>
          <w:color w:val="FF0000"/>
          <w:sz w:val="24"/>
          <w:szCs w:val="24"/>
        </w:rPr>
      </w:pPr>
      <w:r w:rsidRPr="004D2ADF">
        <w:rPr>
          <w:rFonts w:cstheme="minorHAnsi"/>
          <w:b/>
          <w:bCs/>
          <w:color w:val="FF0000"/>
          <w:sz w:val="24"/>
          <w:szCs w:val="24"/>
        </w:rPr>
        <w:t xml:space="preserve">Procedure:  </w:t>
      </w:r>
      <w:r w:rsidRPr="004D2ADF">
        <w:rPr>
          <w:rFonts w:cstheme="minorHAnsi"/>
          <w:color w:val="FF0000"/>
          <w:sz w:val="24"/>
          <w:szCs w:val="24"/>
        </w:rPr>
        <w:t xml:space="preserve">A supervisory staff person will be assigned to the recipient or subrecipient </w:t>
      </w:r>
      <w:proofErr w:type="gramStart"/>
      <w:r w:rsidRPr="004D2ADF">
        <w:rPr>
          <w:rFonts w:cstheme="minorHAnsi"/>
          <w:color w:val="FF0000"/>
          <w:sz w:val="24"/>
          <w:szCs w:val="24"/>
        </w:rPr>
        <w:t>to  conduct</w:t>
      </w:r>
      <w:proofErr w:type="gramEnd"/>
      <w:r w:rsidRPr="004D2ADF">
        <w:rPr>
          <w:rFonts w:cstheme="minorHAnsi"/>
          <w:color w:val="FF0000"/>
          <w:sz w:val="24"/>
          <w:szCs w:val="24"/>
        </w:rPr>
        <w:t xml:space="preserve"> a thorough review of homelessness documentation prior to admitting any applicant to ensure that the applicant meets the applicable homelessness criteria.</w:t>
      </w:r>
      <w:r w:rsidRPr="004D2ADF">
        <w:rPr>
          <w:rFonts w:cstheme="minorHAnsi"/>
          <w:b/>
          <w:bCs/>
          <w:color w:val="FF0000"/>
          <w:sz w:val="24"/>
          <w:szCs w:val="24"/>
        </w:rPr>
        <w:t xml:space="preserve"> </w:t>
      </w:r>
      <w:r w:rsidR="004D2ADF" w:rsidRPr="004D2ADF">
        <w:rPr>
          <w:rFonts w:cstheme="minorHAnsi"/>
          <w:color w:val="FF0000"/>
          <w:sz w:val="24"/>
          <w:szCs w:val="24"/>
        </w:rPr>
        <w:t>No applicants will be admitted any CoC or ESG RRH project until the assigned supervisory staff person has made an eligibility determination.</w:t>
      </w:r>
      <w:r w:rsidR="004D2ADF" w:rsidRPr="004D2ADF">
        <w:rPr>
          <w:rFonts w:cstheme="minorHAnsi"/>
          <w:b/>
          <w:bCs/>
          <w:color w:val="FF0000"/>
          <w:sz w:val="24"/>
          <w:szCs w:val="24"/>
        </w:rPr>
        <w:t xml:space="preserve"> </w:t>
      </w:r>
    </w:p>
    <w:p w14:paraId="5EB83E51" w14:textId="4E7C31AE" w:rsidR="004D2ADF" w:rsidRPr="004D2ADF" w:rsidRDefault="004D2ADF" w:rsidP="004D2ADF">
      <w:pPr>
        <w:autoSpaceDE w:val="0"/>
        <w:autoSpaceDN w:val="0"/>
        <w:adjustRightInd w:val="0"/>
        <w:rPr>
          <w:rFonts w:ascii="Calibri" w:hAnsi="Calibri" w:cs="Calibri"/>
          <w:color w:val="FF0000"/>
          <w:sz w:val="24"/>
          <w:szCs w:val="24"/>
        </w:rPr>
      </w:pPr>
      <w:r w:rsidRPr="004D2ADF">
        <w:rPr>
          <w:rFonts w:cstheme="minorHAnsi"/>
          <w:b/>
          <w:bCs/>
          <w:color w:val="FF0000"/>
          <w:sz w:val="24"/>
          <w:szCs w:val="24"/>
        </w:rPr>
        <w:t xml:space="preserve">Documentation:  </w:t>
      </w:r>
      <w:r w:rsidRPr="004D2ADF">
        <w:rPr>
          <w:rFonts w:cstheme="minorHAnsi"/>
          <w:color w:val="FF0000"/>
          <w:sz w:val="24"/>
          <w:szCs w:val="24"/>
        </w:rPr>
        <w:t>When admitting applicants exiting an institution the recipient or subrecipient will maintain in the participant files</w:t>
      </w:r>
      <w:r>
        <w:rPr>
          <w:rFonts w:cstheme="minorHAnsi"/>
          <w:color w:val="FF0000"/>
          <w:sz w:val="24"/>
          <w:szCs w:val="24"/>
        </w:rPr>
        <w:t xml:space="preserve"> the following documentation</w:t>
      </w:r>
      <w:r w:rsidRPr="004D2ADF">
        <w:rPr>
          <w:rFonts w:cstheme="minorHAnsi"/>
          <w:color w:val="FF0000"/>
          <w:sz w:val="24"/>
          <w:szCs w:val="24"/>
        </w:rPr>
        <w:t xml:space="preserve">: </w:t>
      </w:r>
      <w:r w:rsidRPr="004D2ADF">
        <w:rPr>
          <w:rFonts w:ascii="Calibri" w:hAnsi="Calibri" w:cs="Calibri"/>
          <w:color w:val="FF0000"/>
          <w:sz w:val="24"/>
          <w:szCs w:val="24"/>
        </w:rPr>
        <w:t xml:space="preserve">discharge paperwork or a written or oral referral from an appropriate official of the institution, stating the beginning and end dates of the time residing in the institution demonstrating the person resided there for no more than 120 days. All oral statements must be recorded; OR </w:t>
      </w:r>
      <w:r>
        <w:rPr>
          <w:rFonts w:ascii="Calibri" w:hAnsi="Calibri" w:cs="Calibri"/>
          <w:color w:val="FF0000"/>
          <w:sz w:val="24"/>
          <w:szCs w:val="24"/>
        </w:rPr>
        <w:t>w</w:t>
      </w:r>
      <w:r w:rsidRPr="004D2ADF">
        <w:rPr>
          <w:rFonts w:ascii="Calibri" w:hAnsi="Calibri" w:cs="Calibri"/>
          <w:color w:val="FF0000"/>
          <w:sz w:val="24"/>
          <w:szCs w:val="24"/>
        </w:rPr>
        <w:t xml:space="preserve">here the evidence above is not obtainable, a written record of the intake worker’s due diligence in attempting to obtain the </w:t>
      </w:r>
      <w:r w:rsidRPr="004D2ADF">
        <w:rPr>
          <w:rFonts w:ascii="Calibri" w:hAnsi="Calibri" w:cs="Calibri"/>
          <w:color w:val="FF0000"/>
          <w:sz w:val="24"/>
          <w:szCs w:val="24"/>
        </w:rPr>
        <w:lastRenderedPageBreak/>
        <w:t xml:space="preserve">evidence described in the paragraph above and a certification by the individual seeking assistance that states that they are exiting or have just exited an institution where they resided for less than </w:t>
      </w:r>
      <w:r>
        <w:rPr>
          <w:rFonts w:ascii="Calibri" w:hAnsi="Calibri" w:cs="Calibri"/>
          <w:color w:val="FF0000"/>
          <w:sz w:val="24"/>
          <w:szCs w:val="24"/>
        </w:rPr>
        <w:t>120</w:t>
      </w:r>
      <w:r w:rsidRPr="004D2ADF">
        <w:rPr>
          <w:rFonts w:ascii="Calibri" w:hAnsi="Calibri" w:cs="Calibri"/>
          <w:color w:val="FF0000"/>
          <w:sz w:val="24"/>
          <w:szCs w:val="24"/>
        </w:rPr>
        <w:t xml:space="preserve"> days</w:t>
      </w:r>
      <w:r>
        <w:rPr>
          <w:rFonts w:ascii="Calibri" w:hAnsi="Calibri" w:cs="Calibri"/>
          <w:sz w:val="24"/>
          <w:szCs w:val="24"/>
        </w:rPr>
        <w:t>.</w:t>
      </w:r>
      <w:r w:rsidRPr="004D2ADF">
        <w:rPr>
          <w:rFonts w:ascii="Calibri" w:hAnsi="Calibri" w:cs="Calibri"/>
          <w:sz w:val="24"/>
          <w:szCs w:val="24"/>
        </w:rPr>
        <w:t xml:space="preserve"> </w:t>
      </w:r>
    </w:p>
    <w:p w14:paraId="6517CC30" w14:textId="5D3B9DF0" w:rsidR="004F6508" w:rsidRPr="004F6508" w:rsidRDefault="004F6508" w:rsidP="007E42DF">
      <w:pPr>
        <w:jc w:val="both"/>
        <w:rPr>
          <w:b/>
          <w:bCs/>
          <w:color w:val="FF0000"/>
          <w:sz w:val="24"/>
          <w:szCs w:val="24"/>
        </w:rPr>
        <w:sectPr w:rsidR="004F6508" w:rsidRPr="004F6508" w:rsidSect="007E42D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pPr>
      <w:r>
        <w:rPr>
          <w:rFonts w:cstheme="minorHAnsi"/>
          <w:b/>
          <w:bCs/>
          <w:color w:val="FF0000"/>
        </w:rPr>
        <w:t xml:space="preserve"> </w:t>
      </w:r>
    </w:p>
    <w:p w14:paraId="201649DB" w14:textId="54F91A85" w:rsidR="0026180D" w:rsidRDefault="0026180D" w:rsidP="002D5DC5">
      <w:pPr>
        <w:jc w:val="both"/>
      </w:pPr>
    </w:p>
    <w:p w14:paraId="716315AA" w14:textId="36E5D765" w:rsidR="009040D6" w:rsidRPr="00AF40F1" w:rsidRDefault="009040D6" w:rsidP="002D5DC5">
      <w:pPr>
        <w:pStyle w:val="Heading1"/>
        <w:jc w:val="both"/>
        <w:rPr>
          <w:sz w:val="22"/>
          <w:szCs w:val="22"/>
        </w:rPr>
      </w:pPr>
      <w:bookmarkStart w:id="21" w:name="_Toc52973343"/>
      <w:r w:rsidRPr="00DE1145">
        <w:rPr>
          <w:sz w:val="40"/>
          <w:szCs w:val="40"/>
        </w:rPr>
        <w:t>APPENDIX 2</w:t>
      </w:r>
      <w:r w:rsidR="00AF40F1">
        <w:rPr>
          <w:sz w:val="40"/>
          <w:szCs w:val="40"/>
        </w:rPr>
        <w:t xml:space="preserve"> - </w:t>
      </w:r>
      <w:r w:rsidR="00AF40F1" w:rsidRPr="00D8557C">
        <w:t>CoC Grant Recipient &amp; Subrecipient Obligatio</w:t>
      </w:r>
      <w:r w:rsidR="00AF40F1">
        <w:t>ns</w:t>
      </w:r>
      <w:bookmarkEnd w:id="21"/>
    </w:p>
    <w:p w14:paraId="2D6E069A" w14:textId="409D661C" w:rsidR="00D8557C" w:rsidRPr="00D8557C" w:rsidRDefault="00D8557C" w:rsidP="00B45ED1">
      <w:pPr>
        <w:tabs>
          <w:tab w:val="left" w:pos="1733"/>
        </w:tabs>
        <w:jc w:val="center"/>
      </w:pPr>
    </w:p>
    <w:tbl>
      <w:tblPr>
        <w:tblStyle w:val="GridTable5Dark-Accent5"/>
        <w:tblW w:w="8540" w:type="dxa"/>
        <w:tblLook w:val="0420" w:firstRow="1" w:lastRow="0" w:firstColumn="0" w:lastColumn="0" w:noHBand="0" w:noVBand="1"/>
      </w:tblPr>
      <w:tblGrid>
        <w:gridCol w:w="1520"/>
        <w:gridCol w:w="1800"/>
        <w:gridCol w:w="1710"/>
        <w:gridCol w:w="1980"/>
        <w:gridCol w:w="1530"/>
      </w:tblGrid>
      <w:tr w:rsidR="00D8557C" w:rsidRPr="00D8557C" w14:paraId="2C987B4C" w14:textId="77777777" w:rsidTr="003E6482">
        <w:trPr>
          <w:cnfStyle w:val="100000000000" w:firstRow="1" w:lastRow="0" w:firstColumn="0" w:lastColumn="0" w:oddVBand="0" w:evenVBand="0" w:oddHBand="0" w:evenHBand="0" w:firstRowFirstColumn="0" w:firstRowLastColumn="0" w:lastRowFirstColumn="0" w:lastRowLastColumn="0"/>
          <w:trHeight w:val="574"/>
        </w:trPr>
        <w:tc>
          <w:tcPr>
            <w:tcW w:w="8540" w:type="dxa"/>
            <w:gridSpan w:val="5"/>
            <w:hideMark/>
          </w:tcPr>
          <w:p w14:paraId="2EAC5413" w14:textId="37411A24" w:rsidR="009040D6" w:rsidRPr="00AF40F1" w:rsidRDefault="00D8557C" w:rsidP="00B45ED1">
            <w:pPr>
              <w:jc w:val="center"/>
              <w:rPr>
                <w:b w:val="0"/>
                <w:bCs w:val="0"/>
              </w:rPr>
            </w:pPr>
            <w:r w:rsidRPr="00D8557C">
              <w:rPr>
                <w:b w:val="0"/>
                <w:bCs w:val="0"/>
              </w:rPr>
              <w:t>CoC Grant Recipient &amp; Subrecipient Waiver/Hazard Pay</w:t>
            </w:r>
          </w:p>
          <w:p w14:paraId="71001E54" w14:textId="47B2BA92" w:rsidR="00D8557C" w:rsidRPr="00D8557C" w:rsidRDefault="009040D6" w:rsidP="00B45ED1">
            <w:pPr>
              <w:spacing w:after="160" w:line="259" w:lineRule="auto"/>
              <w:jc w:val="center"/>
            </w:pPr>
            <w:r w:rsidRPr="00AF40F1">
              <w:rPr>
                <w:b w:val="0"/>
                <w:bCs w:val="0"/>
              </w:rPr>
              <w:t xml:space="preserve">Policy and Documentation </w:t>
            </w:r>
            <w:r w:rsidR="00D8557C" w:rsidRPr="00D8557C">
              <w:rPr>
                <w:b w:val="0"/>
                <w:bCs w:val="0"/>
              </w:rPr>
              <w:t>Obligations</w:t>
            </w:r>
          </w:p>
        </w:tc>
      </w:tr>
      <w:tr w:rsidR="003E6482" w:rsidRPr="00D8557C" w14:paraId="3BB313B0" w14:textId="77777777" w:rsidTr="003E6482">
        <w:trPr>
          <w:cnfStyle w:val="000000100000" w:firstRow="0" w:lastRow="0" w:firstColumn="0" w:lastColumn="0" w:oddVBand="0" w:evenVBand="0" w:oddHBand="1" w:evenHBand="0" w:firstRowFirstColumn="0" w:firstRowLastColumn="0" w:lastRowFirstColumn="0" w:lastRowLastColumn="0"/>
          <w:trHeight w:val="781"/>
        </w:trPr>
        <w:tc>
          <w:tcPr>
            <w:tcW w:w="1520" w:type="dxa"/>
            <w:hideMark/>
          </w:tcPr>
          <w:p w14:paraId="70BED2F8" w14:textId="15467351" w:rsidR="00D8557C" w:rsidRPr="00D8557C" w:rsidRDefault="00D8557C" w:rsidP="00B45ED1">
            <w:pPr>
              <w:spacing w:after="160" w:line="259" w:lineRule="auto"/>
              <w:jc w:val="center"/>
              <w:rPr>
                <w:b/>
                <w:bCs/>
              </w:rPr>
            </w:pPr>
            <w:r>
              <w:rPr>
                <w:b/>
                <w:bCs/>
              </w:rPr>
              <w:t xml:space="preserve">Role </w:t>
            </w:r>
            <w:r w:rsidRPr="00D8557C">
              <w:rPr>
                <w:b/>
                <w:bCs/>
              </w:rPr>
              <w:t>of Organization</w:t>
            </w:r>
            <w:r>
              <w:rPr>
                <w:b/>
                <w:bCs/>
              </w:rPr>
              <w:t xml:space="preserve"> in CoC Project</w:t>
            </w:r>
          </w:p>
        </w:tc>
        <w:tc>
          <w:tcPr>
            <w:tcW w:w="1800" w:type="dxa"/>
            <w:hideMark/>
          </w:tcPr>
          <w:p w14:paraId="63B0756B" w14:textId="03C51EF5" w:rsidR="00D8557C" w:rsidRPr="00D8557C" w:rsidRDefault="009040D6" w:rsidP="00B45ED1">
            <w:pPr>
              <w:spacing w:after="160" w:line="259" w:lineRule="auto"/>
              <w:jc w:val="center"/>
            </w:pPr>
            <w:r>
              <w:rPr>
                <w:b/>
                <w:bCs/>
              </w:rPr>
              <w:t xml:space="preserve">Submit </w:t>
            </w:r>
            <w:r w:rsidR="00D8557C" w:rsidRPr="00D8557C">
              <w:rPr>
                <w:b/>
                <w:bCs/>
              </w:rPr>
              <w:t>Waiver Notification to HUD</w:t>
            </w:r>
          </w:p>
        </w:tc>
        <w:tc>
          <w:tcPr>
            <w:tcW w:w="1710" w:type="dxa"/>
            <w:hideMark/>
          </w:tcPr>
          <w:p w14:paraId="0395777F" w14:textId="76B71C41" w:rsidR="00D8557C" w:rsidRPr="00D8557C" w:rsidRDefault="009040D6" w:rsidP="00B45ED1">
            <w:pPr>
              <w:spacing w:after="160" w:line="259" w:lineRule="auto"/>
              <w:jc w:val="center"/>
            </w:pPr>
            <w:r>
              <w:rPr>
                <w:b/>
                <w:bCs/>
              </w:rPr>
              <w:t xml:space="preserve">Adopt </w:t>
            </w:r>
            <w:r w:rsidR="00D8557C" w:rsidRPr="00D8557C">
              <w:rPr>
                <w:b/>
                <w:bCs/>
              </w:rPr>
              <w:t>Policy Authorizing Waiver Use</w:t>
            </w:r>
          </w:p>
        </w:tc>
        <w:tc>
          <w:tcPr>
            <w:tcW w:w="1980" w:type="dxa"/>
            <w:hideMark/>
          </w:tcPr>
          <w:p w14:paraId="1815ECA6" w14:textId="11D6BF7F" w:rsidR="00D8557C" w:rsidRPr="00D8557C" w:rsidRDefault="009040D6" w:rsidP="00B45ED1">
            <w:pPr>
              <w:spacing w:after="160" w:line="259" w:lineRule="auto"/>
              <w:jc w:val="center"/>
            </w:pPr>
            <w:r>
              <w:rPr>
                <w:b/>
                <w:bCs/>
              </w:rPr>
              <w:t xml:space="preserve">Maintain </w:t>
            </w:r>
            <w:r w:rsidR="00D8557C" w:rsidRPr="00D8557C">
              <w:rPr>
                <w:b/>
                <w:bCs/>
              </w:rPr>
              <w:t>Documentation in Participant Files</w:t>
            </w:r>
          </w:p>
        </w:tc>
        <w:tc>
          <w:tcPr>
            <w:tcW w:w="1530" w:type="dxa"/>
            <w:hideMark/>
          </w:tcPr>
          <w:p w14:paraId="1C2467E9" w14:textId="2F1F72A8" w:rsidR="00D8557C" w:rsidRPr="00D8557C" w:rsidRDefault="009040D6" w:rsidP="00B45ED1">
            <w:pPr>
              <w:spacing w:after="160" w:line="259" w:lineRule="auto"/>
              <w:jc w:val="center"/>
            </w:pPr>
            <w:r>
              <w:rPr>
                <w:b/>
                <w:bCs/>
              </w:rPr>
              <w:t xml:space="preserve">Adopt </w:t>
            </w:r>
            <w:r w:rsidR="00D8557C" w:rsidRPr="00D8557C">
              <w:rPr>
                <w:b/>
                <w:bCs/>
              </w:rPr>
              <w:t>Policy Authorizing Hazard Pay</w:t>
            </w:r>
          </w:p>
        </w:tc>
      </w:tr>
      <w:tr w:rsidR="00D8557C" w:rsidRPr="00D8557C" w14:paraId="5D92BC1B" w14:textId="77777777" w:rsidTr="00B45ED1">
        <w:trPr>
          <w:trHeight w:val="611"/>
        </w:trPr>
        <w:tc>
          <w:tcPr>
            <w:tcW w:w="1520" w:type="dxa"/>
            <w:hideMark/>
          </w:tcPr>
          <w:p w14:paraId="600709B2" w14:textId="77777777" w:rsidR="00D8557C" w:rsidRPr="00D8557C" w:rsidRDefault="00D8557C" w:rsidP="002D5DC5">
            <w:pPr>
              <w:spacing w:after="160" w:line="259" w:lineRule="auto"/>
              <w:jc w:val="both"/>
            </w:pPr>
            <w:r w:rsidRPr="00D8557C">
              <w:rPr>
                <w:b/>
                <w:bCs/>
              </w:rPr>
              <w:t>Recipient</w:t>
            </w:r>
          </w:p>
        </w:tc>
        <w:tc>
          <w:tcPr>
            <w:tcW w:w="1800" w:type="dxa"/>
            <w:hideMark/>
          </w:tcPr>
          <w:p w14:paraId="090BEBCD" w14:textId="77777777" w:rsidR="00D8557C" w:rsidRPr="00D8557C" w:rsidRDefault="00D8557C" w:rsidP="002D5DC5">
            <w:pPr>
              <w:spacing w:after="160" w:line="259" w:lineRule="auto"/>
              <w:jc w:val="both"/>
            </w:pPr>
            <w:r w:rsidRPr="00D8557C">
              <w:t>Y</w:t>
            </w:r>
          </w:p>
        </w:tc>
        <w:tc>
          <w:tcPr>
            <w:tcW w:w="1710" w:type="dxa"/>
            <w:hideMark/>
          </w:tcPr>
          <w:p w14:paraId="2961CDCC" w14:textId="77777777" w:rsidR="00D8557C" w:rsidRPr="00D8557C" w:rsidRDefault="00D8557C" w:rsidP="002D5DC5">
            <w:pPr>
              <w:spacing w:after="160" w:line="259" w:lineRule="auto"/>
              <w:jc w:val="both"/>
            </w:pPr>
            <w:r w:rsidRPr="00D8557C">
              <w:t>Y</w:t>
            </w:r>
          </w:p>
        </w:tc>
        <w:tc>
          <w:tcPr>
            <w:tcW w:w="1980" w:type="dxa"/>
            <w:hideMark/>
          </w:tcPr>
          <w:p w14:paraId="0F330484" w14:textId="45BC1C87" w:rsidR="00D8557C" w:rsidRPr="00D8557C" w:rsidRDefault="00D8557C" w:rsidP="002D5DC5">
            <w:pPr>
              <w:spacing w:after="160" w:line="259" w:lineRule="auto"/>
              <w:jc w:val="both"/>
            </w:pPr>
            <w:r w:rsidRPr="00D8557C">
              <w:t>Y</w:t>
            </w:r>
            <w:r w:rsidR="009040D6">
              <w:t xml:space="preserve"> </w:t>
            </w:r>
            <w:r w:rsidRPr="00D8557C">
              <w:t>(if maintain files)</w:t>
            </w:r>
          </w:p>
        </w:tc>
        <w:tc>
          <w:tcPr>
            <w:tcW w:w="1530" w:type="dxa"/>
            <w:hideMark/>
          </w:tcPr>
          <w:p w14:paraId="3340F20D" w14:textId="77777777" w:rsidR="00D8557C" w:rsidRPr="00D8557C" w:rsidRDefault="00D8557C" w:rsidP="002D5DC5">
            <w:pPr>
              <w:spacing w:after="160" w:line="259" w:lineRule="auto"/>
              <w:jc w:val="both"/>
            </w:pPr>
            <w:r w:rsidRPr="00D8557C">
              <w:t>Y</w:t>
            </w:r>
          </w:p>
        </w:tc>
      </w:tr>
      <w:tr w:rsidR="003E6482" w:rsidRPr="00D8557C" w14:paraId="304E479C" w14:textId="77777777" w:rsidTr="00B45ED1">
        <w:trPr>
          <w:cnfStyle w:val="000000100000" w:firstRow="0" w:lastRow="0" w:firstColumn="0" w:lastColumn="0" w:oddVBand="0" w:evenVBand="0" w:oddHBand="1" w:evenHBand="0" w:firstRowFirstColumn="0" w:firstRowLastColumn="0" w:lastRowFirstColumn="0" w:lastRowLastColumn="0"/>
          <w:trHeight w:val="710"/>
        </w:trPr>
        <w:tc>
          <w:tcPr>
            <w:tcW w:w="1520" w:type="dxa"/>
            <w:hideMark/>
          </w:tcPr>
          <w:p w14:paraId="61473A6A" w14:textId="77777777" w:rsidR="00D8557C" w:rsidRPr="00D8557C" w:rsidRDefault="00D8557C" w:rsidP="002D5DC5">
            <w:pPr>
              <w:spacing w:after="160" w:line="259" w:lineRule="auto"/>
              <w:jc w:val="both"/>
            </w:pPr>
            <w:r w:rsidRPr="00D8557C">
              <w:rPr>
                <w:b/>
                <w:bCs/>
              </w:rPr>
              <w:t>Subrecipient</w:t>
            </w:r>
          </w:p>
        </w:tc>
        <w:tc>
          <w:tcPr>
            <w:tcW w:w="1800" w:type="dxa"/>
            <w:hideMark/>
          </w:tcPr>
          <w:p w14:paraId="0498CFD9" w14:textId="77777777" w:rsidR="00D8557C" w:rsidRPr="00D8557C" w:rsidRDefault="00D8557C" w:rsidP="002D5DC5">
            <w:pPr>
              <w:spacing w:after="160" w:line="259" w:lineRule="auto"/>
              <w:jc w:val="both"/>
            </w:pPr>
            <w:r w:rsidRPr="00D8557C">
              <w:t xml:space="preserve">N </w:t>
            </w:r>
          </w:p>
        </w:tc>
        <w:tc>
          <w:tcPr>
            <w:tcW w:w="1710" w:type="dxa"/>
            <w:hideMark/>
          </w:tcPr>
          <w:p w14:paraId="756A7B6A" w14:textId="77777777" w:rsidR="00D8557C" w:rsidRPr="00D8557C" w:rsidRDefault="00D8557C" w:rsidP="002D5DC5">
            <w:pPr>
              <w:spacing w:after="160" w:line="259" w:lineRule="auto"/>
              <w:jc w:val="both"/>
            </w:pPr>
            <w:r w:rsidRPr="00D8557C">
              <w:t>N</w:t>
            </w:r>
          </w:p>
        </w:tc>
        <w:tc>
          <w:tcPr>
            <w:tcW w:w="1980" w:type="dxa"/>
            <w:hideMark/>
          </w:tcPr>
          <w:p w14:paraId="110D8B92" w14:textId="77777777" w:rsidR="00D8557C" w:rsidRPr="00D8557C" w:rsidRDefault="00D8557C" w:rsidP="002D5DC5">
            <w:pPr>
              <w:spacing w:after="160" w:line="259" w:lineRule="auto"/>
              <w:jc w:val="both"/>
            </w:pPr>
            <w:r w:rsidRPr="00D8557C">
              <w:t>Y</w:t>
            </w:r>
          </w:p>
        </w:tc>
        <w:tc>
          <w:tcPr>
            <w:tcW w:w="1530" w:type="dxa"/>
            <w:hideMark/>
          </w:tcPr>
          <w:p w14:paraId="4FB00F78" w14:textId="77777777" w:rsidR="00D8557C" w:rsidRPr="00D8557C" w:rsidRDefault="00D8557C" w:rsidP="002D5DC5">
            <w:pPr>
              <w:spacing w:after="160" w:line="259" w:lineRule="auto"/>
              <w:jc w:val="both"/>
            </w:pPr>
            <w:r w:rsidRPr="00D8557C">
              <w:t>Y</w:t>
            </w:r>
          </w:p>
        </w:tc>
      </w:tr>
    </w:tbl>
    <w:p w14:paraId="461DFD6B" w14:textId="77777777" w:rsidR="00D8557C" w:rsidRPr="00BE236F" w:rsidRDefault="00D8557C" w:rsidP="002D5DC5">
      <w:pPr>
        <w:jc w:val="both"/>
      </w:pPr>
    </w:p>
    <w:p w14:paraId="737B3176" w14:textId="2F74C31D" w:rsidR="00D8557C" w:rsidRPr="00D8557C" w:rsidRDefault="00D8557C" w:rsidP="002D5DC5">
      <w:pPr>
        <w:tabs>
          <w:tab w:val="left" w:pos="1733"/>
        </w:tabs>
        <w:jc w:val="both"/>
      </w:pPr>
    </w:p>
    <w:sectPr w:rsidR="00D8557C" w:rsidRPr="00D8557C" w:rsidSect="009040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1FE64" w14:textId="77777777" w:rsidR="00351F1E" w:rsidRDefault="00351F1E" w:rsidP="00487B1B">
      <w:pPr>
        <w:spacing w:after="0" w:line="240" w:lineRule="auto"/>
      </w:pPr>
      <w:r>
        <w:separator/>
      </w:r>
    </w:p>
  </w:endnote>
  <w:endnote w:type="continuationSeparator" w:id="0">
    <w:p w14:paraId="56F47FCA" w14:textId="77777777" w:rsidR="00351F1E" w:rsidRDefault="00351F1E" w:rsidP="0048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BCCA" w14:textId="77777777" w:rsidR="003F797A" w:rsidRDefault="003F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BBEA" w14:textId="108EF81C" w:rsidR="00DD3016" w:rsidRDefault="00351F1E" w:rsidP="009040D6">
    <w:pPr>
      <w:pStyle w:val="Footer"/>
      <w:jc w:val="right"/>
    </w:pPr>
    <w:sdt>
      <w:sdtPr>
        <w:id w:val="551435630"/>
        <w:docPartObj>
          <w:docPartGallery w:val="Page Numbers (Bottom of Page)"/>
          <w:docPartUnique/>
        </w:docPartObj>
      </w:sdtPr>
      <w:sdtEndPr/>
      <w:sdtContent>
        <w:r w:rsidR="00DD3016">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CCBDFF1" wp14:editId="045AD66E">
                  <wp:simplePos x="0" y="0"/>
                  <wp:positionH relativeFrom="lef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9B1C07F" w14:textId="77777777" w:rsidR="00DD3016" w:rsidRDefault="00DD301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0149DE">
                                <w:rPr>
                                  <w:noProof/>
                                  <w:sz w:val="28"/>
                                  <w:szCs w:val="28"/>
                                </w:rPr>
                                <w:t>12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DF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" filled="f" fillcolor="#5c83b4" stroked="f" strokecolor="#737373">
                  <v:textbox>
                    <w:txbxContent>
                      <w:p w14:paraId="09B1C07F" w14:textId="77777777" w:rsidR="00DD3016" w:rsidRDefault="00DD301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0149DE">
                          <w:rPr>
                            <w:noProof/>
                            <w:sz w:val="28"/>
                            <w:szCs w:val="28"/>
                          </w:rPr>
                          <w:t>12</w:t>
                        </w:r>
                        <w:r>
                          <w:rPr>
                            <w:noProof/>
                            <w:sz w:val="28"/>
                            <w:szCs w:val="28"/>
                          </w:rPr>
                          <w:fldChar w:fldCharType="end"/>
                        </w:r>
                      </w:p>
                    </w:txbxContent>
                  </v:textbox>
                  <w10:wrap anchorx="margin" anchory="margin"/>
                </v:shape>
              </w:pict>
            </mc:Fallback>
          </mc:AlternateContent>
        </w:r>
      </w:sdtContent>
    </w:sdt>
    <w:r w:rsidR="00DD3016">
      <w:tab/>
      <w:t>Updated October 7,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7373948"/>
      <w:docPartObj>
        <w:docPartGallery w:val="Page Numbers (Bottom of Page)"/>
        <w:docPartUnique/>
      </w:docPartObj>
    </w:sdtPr>
    <w:sdtEndPr>
      <w:rPr>
        <w:rStyle w:val="PageNumber"/>
      </w:rPr>
    </w:sdtEndPr>
    <w:sdtContent>
      <w:p w14:paraId="30944D2C" w14:textId="3B634E2A" w:rsidR="003F797A" w:rsidRDefault="003F797A" w:rsidP="008C270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48407DA2" w14:textId="0A0336F5" w:rsidR="00DD3016" w:rsidRDefault="00DD3016" w:rsidP="003F797A">
    <w:pPr>
      <w:pStyle w:val="Footer"/>
      <w:ind w:firstLine="360"/>
      <w:jc w:val="right"/>
    </w:pPr>
    <w:r>
      <w:t>Updated October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84E1" w14:textId="77777777" w:rsidR="00351F1E" w:rsidRDefault="00351F1E" w:rsidP="00487B1B">
      <w:pPr>
        <w:spacing w:after="0" w:line="240" w:lineRule="auto"/>
      </w:pPr>
      <w:r>
        <w:separator/>
      </w:r>
    </w:p>
  </w:footnote>
  <w:footnote w:type="continuationSeparator" w:id="0">
    <w:p w14:paraId="211AC5C8" w14:textId="77777777" w:rsidR="00351F1E" w:rsidRDefault="00351F1E" w:rsidP="0048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614D" w14:textId="2CF4EAA4" w:rsidR="00DD3016" w:rsidRDefault="00DD3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7F95" w14:textId="4ADA5D5C" w:rsidR="00DD3016" w:rsidRDefault="00DD3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741D" w14:textId="1325D1F9" w:rsidR="00DD3016" w:rsidRDefault="00DD3016">
    <w:pPr>
      <w:pStyle w:val="Header"/>
    </w:pPr>
    <w:r>
      <w:rPr>
        <w:noProof/>
      </w:rPr>
      <w:drawing>
        <wp:anchor distT="0" distB="0" distL="114300" distR="114300" simplePos="0" relativeHeight="251661312" behindDoc="0" locked="0" layoutInCell="1" allowOverlap="1" wp14:anchorId="28F196B4" wp14:editId="32C2B514">
          <wp:simplePos x="0" y="0"/>
          <wp:positionH relativeFrom="page">
            <wp:posOffset>435768</wp:posOffset>
          </wp:positionH>
          <wp:positionV relativeFrom="page">
            <wp:posOffset>328613</wp:posOffset>
          </wp:positionV>
          <wp:extent cx="6870724" cy="6858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990"/>
    <w:multiLevelType w:val="hybridMultilevel"/>
    <w:tmpl w:val="9E7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2384A"/>
    <w:multiLevelType w:val="hybridMultilevel"/>
    <w:tmpl w:val="6DF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377E7"/>
    <w:multiLevelType w:val="hybridMultilevel"/>
    <w:tmpl w:val="3432B17E"/>
    <w:lvl w:ilvl="0" w:tplc="B00E99EA">
      <w:start w:val="1"/>
      <w:numFmt w:val="bullet"/>
      <w:lvlText w:val="•"/>
      <w:lvlJc w:val="left"/>
      <w:pPr>
        <w:tabs>
          <w:tab w:val="num" w:pos="720"/>
        </w:tabs>
        <w:ind w:left="720" w:hanging="360"/>
      </w:pPr>
      <w:rPr>
        <w:rFonts w:ascii="Arial" w:hAnsi="Arial" w:hint="default"/>
      </w:rPr>
    </w:lvl>
    <w:lvl w:ilvl="1" w:tplc="4AE213EA" w:tentative="1">
      <w:start w:val="1"/>
      <w:numFmt w:val="bullet"/>
      <w:lvlText w:val="•"/>
      <w:lvlJc w:val="left"/>
      <w:pPr>
        <w:tabs>
          <w:tab w:val="num" w:pos="1440"/>
        </w:tabs>
        <w:ind w:left="1440" w:hanging="360"/>
      </w:pPr>
      <w:rPr>
        <w:rFonts w:ascii="Arial" w:hAnsi="Arial" w:hint="default"/>
      </w:rPr>
    </w:lvl>
    <w:lvl w:ilvl="2" w:tplc="7598CE72" w:tentative="1">
      <w:start w:val="1"/>
      <w:numFmt w:val="bullet"/>
      <w:lvlText w:val="•"/>
      <w:lvlJc w:val="left"/>
      <w:pPr>
        <w:tabs>
          <w:tab w:val="num" w:pos="2160"/>
        </w:tabs>
        <w:ind w:left="2160" w:hanging="360"/>
      </w:pPr>
      <w:rPr>
        <w:rFonts w:ascii="Arial" w:hAnsi="Arial" w:hint="default"/>
      </w:rPr>
    </w:lvl>
    <w:lvl w:ilvl="3" w:tplc="9A96E25C" w:tentative="1">
      <w:start w:val="1"/>
      <w:numFmt w:val="bullet"/>
      <w:lvlText w:val="•"/>
      <w:lvlJc w:val="left"/>
      <w:pPr>
        <w:tabs>
          <w:tab w:val="num" w:pos="2880"/>
        </w:tabs>
        <w:ind w:left="2880" w:hanging="360"/>
      </w:pPr>
      <w:rPr>
        <w:rFonts w:ascii="Arial" w:hAnsi="Arial" w:hint="default"/>
      </w:rPr>
    </w:lvl>
    <w:lvl w:ilvl="4" w:tplc="A3E89EC8" w:tentative="1">
      <w:start w:val="1"/>
      <w:numFmt w:val="bullet"/>
      <w:lvlText w:val="•"/>
      <w:lvlJc w:val="left"/>
      <w:pPr>
        <w:tabs>
          <w:tab w:val="num" w:pos="3600"/>
        </w:tabs>
        <w:ind w:left="3600" w:hanging="360"/>
      </w:pPr>
      <w:rPr>
        <w:rFonts w:ascii="Arial" w:hAnsi="Arial" w:hint="default"/>
      </w:rPr>
    </w:lvl>
    <w:lvl w:ilvl="5" w:tplc="CC2C4A46" w:tentative="1">
      <w:start w:val="1"/>
      <w:numFmt w:val="bullet"/>
      <w:lvlText w:val="•"/>
      <w:lvlJc w:val="left"/>
      <w:pPr>
        <w:tabs>
          <w:tab w:val="num" w:pos="4320"/>
        </w:tabs>
        <w:ind w:left="4320" w:hanging="360"/>
      </w:pPr>
      <w:rPr>
        <w:rFonts w:ascii="Arial" w:hAnsi="Arial" w:hint="default"/>
      </w:rPr>
    </w:lvl>
    <w:lvl w:ilvl="6" w:tplc="C2BC20CC" w:tentative="1">
      <w:start w:val="1"/>
      <w:numFmt w:val="bullet"/>
      <w:lvlText w:val="•"/>
      <w:lvlJc w:val="left"/>
      <w:pPr>
        <w:tabs>
          <w:tab w:val="num" w:pos="5040"/>
        </w:tabs>
        <w:ind w:left="5040" w:hanging="360"/>
      </w:pPr>
      <w:rPr>
        <w:rFonts w:ascii="Arial" w:hAnsi="Arial" w:hint="default"/>
      </w:rPr>
    </w:lvl>
    <w:lvl w:ilvl="7" w:tplc="A8AA309A" w:tentative="1">
      <w:start w:val="1"/>
      <w:numFmt w:val="bullet"/>
      <w:lvlText w:val="•"/>
      <w:lvlJc w:val="left"/>
      <w:pPr>
        <w:tabs>
          <w:tab w:val="num" w:pos="5760"/>
        </w:tabs>
        <w:ind w:left="5760" w:hanging="360"/>
      </w:pPr>
      <w:rPr>
        <w:rFonts w:ascii="Arial" w:hAnsi="Arial" w:hint="default"/>
      </w:rPr>
    </w:lvl>
    <w:lvl w:ilvl="8" w:tplc="E506CA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5045AC"/>
    <w:multiLevelType w:val="hybridMultilevel"/>
    <w:tmpl w:val="51A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96F56"/>
    <w:multiLevelType w:val="hybridMultilevel"/>
    <w:tmpl w:val="4198DA0C"/>
    <w:lvl w:ilvl="0" w:tplc="1D2C69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F7906"/>
    <w:multiLevelType w:val="hybridMultilevel"/>
    <w:tmpl w:val="7634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102668"/>
    <w:multiLevelType w:val="hybridMultilevel"/>
    <w:tmpl w:val="F516FC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8AC3BB5"/>
    <w:multiLevelType w:val="hybridMultilevel"/>
    <w:tmpl w:val="832E1FB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069A1"/>
    <w:multiLevelType w:val="hybridMultilevel"/>
    <w:tmpl w:val="27C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349E2"/>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14CC6"/>
    <w:multiLevelType w:val="hybridMultilevel"/>
    <w:tmpl w:val="2F7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5"/>
  </w:num>
  <w:num w:numId="6">
    <w:abstractNumId w:val="5"/>
  </w:num>
  <w:num w:numId="7">
    <w:abstractNumId w:val="10"/>
  </w:num>
  <w:num w:numId="8">
    <w:abstractNumId w:val="1"/>
  </w:num>
  <w:num w:numId="9">
    <w:abstractNumId w:val="9"/>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F8"/>
    <w:rsid w:val="000126B5"/>
    <w:rsid w:val="0001435D"/>
    <w:rsid w:val="000149DE"/>
    <w:rsid w:val="0004524F"/>
    <w:rsid w:val="0005523D"/>
    <w:rsid w:val="00056F56"/>
    <w:rsid w:val="00060FA0"/>
    <w:rsid w:val="00080BC5"/>
    <w:rsid w:val="000A7511"/>
    <w:rsid w:val="000B15E4"/>
    <w:rsid w:val="000D4412"/>
    <w:rsid w:val="000D7B61"/>
    <w:rsid w:val="000F48B7"/>
    <w:rsid w:val="00123EE3"/>
    <w:rsid w:val="00130456"/>
    <w:rsid w:val="00134768"/>
    <w:rsid w:val="00137DBC"/>
    <w:rsid w:val="00160785"/>
    <w:rsid w:val="00192171"/>
    <w:rsid w:val="001A1C35"/>
    <w:rsid w:val="001B48C9"/>
    <w:rsid w:val="001D19EA"/>
    <w:rsid w:val="001E0CBC"/>
    <w:rsid w:val="001F2F14"/>
    <w:rsid w:val="001F6ECE"/>
    <w:rsid w:val="00206831"/>
    <w:rsid w:val="00212692"/>
    <w:rsid w:val="00213038"/>
    <w:rsid w:val="00222B8E"/>
    <w:rsid w:val="0023012D"/>
    <w:rsid w:val="002330F1"/>
    <w:rsid w:val="00236FF0"/>
    <w:rsid w:val="002370CF"/>
    <w:rsid w:val="0024655E"/>
    <w:rsid w:val="002469EC"/>
    <w:rsid w:val="0026180D"/>
    <w:rsid w:val="002649A5"/>
    <w:rsid w:val="00266ADD"/>
    <w:rsid w:val="0027665F"/>
    <w:rsid w:val="00286621"/>
    <w:rsid w:val="00290B2B"/>
    <w:rsid w:val="00290BEA"/>
    <w:rsid w:val="002943B5"/>
    <w:rsid w:val="002A60B7"/>
    <w:rsid w:val="002D3874"/>
    <w:rsid w:val="002D4D5C"/>
    <w:rsid w:val="002D5DC5"/>
    <w:rsid w:val="002E0A37"/>
    <w:rsid w:val="00322EA1"/>
    <w:rsid w:val="0032431B"/>
    <w:rsid w:val="00325CD9"/>
    <w:rsid w:val="003307C1"/>
    <w:rsid w:val="00341A5E"/>
    <w:rsid w:val="00350934"/>
    <w:rsid w:val="00351F1E"/>
    <w:rsid w:val="00363CEB"/>
    <w:rsid w:val="003715E6"/>
    <w:rsid w:val="00376FEE"/>
    <w:rsid w:val="0038543A"/>
    <w:rsid w:val="00390B70"/>
    <w:rsid w:val="00390C59"/>
    <w:rsid w:val="003940DD"/>
    <w:rsid w:val="00396CC6"/>
    <w:rsid w:val="00396FFD"/>
    <w:rsid w:val="003A6BA6"/>
    <w:rsid w:val="003C553E"/>
    <w:rsid w:val="003D1C1D"/>
    <w:rsid w:val="003E1981"/>
    <w:rsid w:val="003E3594"/>
    <w:rsid w:val="003E38B5"/>
    <w:rsid w:val="003E63C8"/>
    <w:rsid w:val="003E6482"/>
    <w:rsid w:val="003E697D"/>
    <w:rsid w:val="003F0AB4"/>
    <w:rsid w:val="003F4C23"/>
    <w:rsid w:val="003F797A"/>
    <w:rsid w:val="00404693"/>
    <w:rsid w:val="00404E3F"/>
    <w:rsid w:val="004065EE"/>
    <w:rsid w:val="00417A6E"/>
    <w:rsid w:val="004338CD"/>
    <w:rsid w:val="00441E5A"/>
    <w:rsid w:val="0045474D"/>
    <w:rsid w:val="004547A4"/>
    <w:rsid w:val="004607A4"/>
    <w:rsid w:val="00465E9D"/>
    <w:rsid w:val="0047707F"/>
    <w:rsid w:val="00487B1B"/>
    <w:rsid w:val="00494449"/>
    <w:rsid w:val="004954E5"/>
    <w:rsid w:val="004A0872"/>
    <w:rsid w:val="004B04EE"/>
    <w:rsid w:val="004B1271"/>
    <w:rsid w:val="004C04E5"/>
    <w:rsid w:val="004C4FB7"/>
    <w:rsid w:val="004D2ADF"/>
    <w:rsid w:val="004D5F48"/>
    <w:rsid w:val="004E2148"/>
    <w:rsid w:val="004E22E8"/>
    <w:rsid w:val="004E6967"/>
    <w:rsid w:val="004F1C3F"/>
    <w:rsid w:val="004F499A"/>
    <w:rsid w:val="004F6508"/>
    <w:rsid w:val="004F66A1"/>
    <w:rsid w:val="005013CB"/>
    <w:rsid w:val="0051303E"/>
    <w:rsid w:val="00525184"/>
    <w:rsid w:val="00531643"/>
    <w:rsid w:val="00535BA6"/>
    <w:rsid w:val="00540EC0"/>
    <w:rsid w:val="00555079"/>
    <w:rsid w:val="00571A5D"/>
    <w:rsid w:val="0057711A"/>
    <w:rsid w:val="00580DB0"/>
    <w:rsid w:val="00586166"/>
    <w:rsid w:val="005A35FB"/>
    <w:rsid w:val="005A5F3D"/>
    <w:rsid w:val="005A750C"/>
    <w:rsid w:val="005B7E98"/>
    <w:rsid w:val="005C1918"/>
    <w:rsid w:val="005E1378"/>
    <w:rsid w:val="005F67BB"/>
    <w:rsid w:val="006114A8"/>
    <w:rsid w:val="00623248"/>
    <w:rsid w:val="00632A4E"/>
    <w:rsid w:val="00651E23"/>
    <w:rsid w:val="00652924"/>
    <w:rsid w:val="006655B2"/>
    <w:rsid w:val="0067286B"/>
    <w:rsid w:val="00682E15"/>
    <w:rsid w:val="0068476B"/>
    <w:rsid w:val="006A17A4"/>
    <w:rsid w:val="006A2367"/>
    <w:rsid w:val="006C2A47"/>
    <w:rsid w:val="006D0C2C"/>
    <w:rsid w:val="006D2F06"/>
    <w:rsid w:val="006D3D6B"/>
    <w:rsid w:val="006E1EA2"/>
    <w:rsid w:val="006F060E"/>
    <w:rsid w:val="006F3284"/>
    <w:rsid w:val="006F519D"/>
    <w:rsid w:val="0070294C"/>
    <w:rsid w:val="007167FD"/>
    <w:rsid w:val="00754CB2"/>
    <w:rsid w:val="00762058"/>
    <w:rsid w:val="00771725"/>
    <w:rsid w:val="00772D06"/>
    <w:rsid w:val="007902E2"/>
    <w:rsid w:val="00796D0E"/>
    <w:rsid w:val="007A50FA"/>
    <w:rsid w:val="007A683B"/>
    <w:rsid w:val="007E42DF"/>
    <w:rsid w:val="007E59B7"/>
    <w:rsid w:val="007F411D"/>
    <w:rsid w:val="00835B1F"/>
    <w:rsid w:val="00835E29"/>
    <w:rsid w:val="0085089A"/>
    <w:rsid w:val="00875477"/>
    <w:rsid w:val="00897F02"/>
    <w:rsid w:val="008A2389"/>
    <w:rsid w:val="008B0BE5"/>
    <w:rsid w:val="008B49C5"/>
    <w:rsid w:val="008D7DE8"/>
    <w:rsid w:val="008F2B61"/>
    <w:rsid w:val="009040D6"/>
    <w:rsid w:val="00905755"/>
    <w:rsid w:val="00911E01"/>
    <w:rsid w:val="00916AAF"/>
    <w:rsid w:val="00917CB0"/>
    <w:rsid w:val="00917D71"/>
    <w:rsid w:val="0093534F"/>
    <w:rsid w:val="00940CB3"/>
    <w:rsid w:val="0094201A"/>
    <w:rsid w:val="00944504"/>
    <w:rsid w:val="009454E6"/>
    <w:rsid w:val="0095085A"/>
    <w:rsid w:val="009708ED"/>
    <w:rsid w:val="00986A0E"/>
    <w:rsid w:val="00992A09"/>
    <w:rsid w:val="0099645C"/>
    <w:rsid w:val="0099666E"/>
    <w:rsid w:val="00996BDF"/>
    <w:rsid w:val="009A11FA"/>
    <w:rsid w:val="009B37C6"/>
    <w:rsid w:val="009B57F7"/>
    <w:rsid w:val="009C39D1"/>
    <w:rsid w:val="009C571E"/>
    <w:rsid w:val="009D3569"/>
    <w:rsid w:val="009D3A8F"/>
    <w:rsid w:val="009E1E01"/>
    <w:rsid w:val="009F6A2E"/>
    <w:rsid w:val="00A033D1"/>
    <w:rsid w:val="00A12758"/>
    <w:rsid w:val="00A24D15"/>
    <w:rsid w:val="00A27497"/>
    <w:rsid w:val="00A423C4"/>
    <w:rsid w:val="00A43EB9"/>
    <w:rsid w:val="00A62954"/>
    <w:rsid w:val="00A72BA7"/>
    <w:rsid w:val="00A94E72"/>
    <w:rsid w:val="00A9592F"/>
    <w:rsid w:val="00AD3F88"/>
    <w:rsid w:val="00AE29DD"/>
    <w:rsid w:val="00AE54E4"/>
    <w:rsid w:val="00AF1EAA"/>
    <w:rsid w:val="00AF2965"/>
    <w:rsid w:val="00AF40F1"/>
    <w:rsid w:val="00B0100C"/>
    <w:rsid w:val="00B01C95"/>
    <w:rsid w:val="00B152C7"/>
    <w:rsid w:val="00B20DD6"/>
    <w:rsid w:val="00B25A6C"/>
    <w:rsid w:val="00B3041F"/>
    <w:rsid w:val="00B315E1"/>
    <w:rsid w:val="00B333A8"/>
    <w:rsid w:val="00B45ED1"/>
    <w:rsid w:val="00B5640A"/>
    <w:rsid w:val="00B56E9E"/>
    <w:rsid w:val="00B607EE"/>
    <w:rsid w:val="00B62590"/>
    <w:rsid w:val="00B659A6"/>
    <w:rsid w:val="00B73944"/>
    <w:rsid w:val="00B8261A"/>
    <w:rsid w:val="00B846DF"/>
    <w:rsid w:val="00B9481A"/>
    <w:rsid w:val="00BA08CB"/>
    <w:rsid w:val="00BE236F"/>
    <w:rsid w:val="00BE374D"/>
    <w:rsid w:val="00BE41C1"/>
    <w:rsid w:val="00BF0793"/>
    <w:rsid w:val="00BF6E66"/>
    <w:rsid w:val="00C03A55"/>
    <w:rsid w:val="00C129EE"/>
    <w:rsid w:val="00C13441"/>
    <w:rsid w:val="00C16356"/>
    <w:rsid w:val="00C21C0D"/>
    <w:rsid w:val="00C26B6B"/>
    <w:rsid w:val="00C35B36"/>
    <w:rsid w:val="00C368EE"/>
    <w:rsid w:val="00C36965"/>
    <w:rsid w:val="00C45217"/>
    <w:rsid w:val="00C53C37"/>
    <w:rsid w:val="00C73BD2"/>
    <w:rsid w:val="00C74AB2"/>
    <w:rsid w:val="00C765D1"/>
    <w:rsid w:val="00C77955"/>
    <w:rsid w:val="00C863FE"/>
    <w:rsid w:val="00C90938"/>
    <w:rsid w:val="00CB4B74"/>
    <w:rsid w:val="00CC3145"/>
    <w:rsid w:val="00CC3C9D"/>
    <w:rsid w:val="00CD0261"/>
    <w:rsid w:val="00CD0779"/>
    <w:rsid w:val="00CD0E37"/>
    <w:rsid w:val="00CD5A05"/>
    <w:rsid w:val="00CE0D10"/>
    <w:rsid w:val="00CF3C40"/>
    <w:rsid w:val="00D0350C"/>
    <w:rsid w:val="00D043E3"/>
    <w:rsid w:val="00D056BF"/>
    <w:rsid w:val="00D25EEA"/>
    <w:rsid w:val="00D444F8"/>
    <w:rsid w:val="00D818C9"/>
    <w:rsid w:val="00D8557C"/>
    <w:rsid w:val="00D862DD"/>
    <w:rsid w:val="00D95E21"/>
    <w:rsid w:val="00DA44F8"/>
    <w:rsid w:val="00DC0956"/>
    <w:rsid w:val="00DD09B4"/>
    <w:rsid w:val="00DD3016"/>
    <w:rsid w:val="00DE1145"/>
    <w:rsid w:val="00DF5DC5"/>
    <w:rsid w:val="00E15DB1"/>
    <w:rsid w:val="00E330DF"/>
    <w:rsid w:val="00E40899"/>
    <w:rsid w:val="00E44A35"/>
    <w:rsid w:val="00E46265"/>
    <w:rsid w:val="00E7239F"/>
    <w:rsid w:val="00E72E10"/>
    <w:rsid w:val="00E843D5"/>
    <w:rsid w:val="00E85354"/>
    <w:rsid w:val="00E90551"/>
    <w:rsid w:val="00EA0F3E"/>
    <w:rsid w:val="00EA19FA"/>
    <w:rsid w:val="00EB6F57"/>
    <w:rsid w:val="00EC479E"/>
    <w:rsid w:val="00EC5E58"/>
    <w:rsid w:val="00ED1137"/>
    <w:rsid w:val="00ED1AE6"/>
    <w:rsid w:val="00ED2F14"/>
    <w:rsid w:val="00ED4B2E"/>
    <w:rsid w:val="00ED66A5"/>
    <w:rsid w:val="00EE6BA2"/>
    <w:rsid w:val="00F23132"/>
    <w:rsid w:val="00F33D7A"/>
    <w:rsid w:val="00F3784F"/>
    <w:rsid w:val="00FA3B77"/>
    <w:rsid w:val="00FB3638"/>
    <w:rsid w:val="00FC63FC"/>
    <w:rsid w:val="00FC77C5"/>
    <w:rsid w:val="00FD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81F4"/>
  <w15:docId w15:val="{C888E227-3718-2C43-9750-D559823D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A5"/>
  </w:style>
  <w:style w:type="paragraph" w:styleId="Heading1">
    <w:name w:val="heading 1"/>
    <w:basedOn w:val="Normal"/>
    <w:next w:val="Normal"/>
    <w:link w:val="Heading1Char"/>
    <w:uiPriority w:val="9"/>
    <w:qFormat/>
    <w:rsid w:val="00DA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4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4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0A37"/>
    <w:pPr>
      <w:ind w:left="720"/>
      <w:contextualSpacing/>
    </w:pPr>
  </w:style>
  <w:style w:type="character" w:customStyle="1" w:styleId="Heading2Char">
    <w:name w:val="Heading 2 Char"/>
    <w:basedOn w:val="DefaultParagraphFont"/>
    <w:link w:val="Heading2"/>
    <w:uiPriority w:val="9"/>
    <w:rsid w:val="00404E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8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1B"/>
  </w:style>
  <w:style w:type="paragraph" w:styleId="Footer">
    <w:name w:val="footer"/>
    <w:basedOn w:val="Normal"/>
    <w:link w:val="FooterChar"/>
    <w:uiPriority w:val="99"/>
    <w:unhideWhenUsed/>
    <w:rsid w:val="0048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1B"/>
  </w:style>
  <w:style w:type="character" w:styleId="CommentReference">
    <w:name w:val="annotation reference"/>
    <w:basedOn w:val="DefaultParagraphFont"/>
    <w:uiPriority w:val="99"/>
    <w:semiHidden/>
    <w:unhideWhenUsed/>
    <w:rsid w:val="008F2B61"/>
    <w:rPr>
      <w:sz w:val="16"/>
      <w:szCs w:val="16"/>
    </w:rPr>
  </w:style>
  <w:style w:type="paragraph" w:styleId="CommentText">
    <w:name w:val="annotation text"/>
    <w:basedOn w:val="Normal"/>
    <w:link w:val="CommentTextChar"/>
    <w:uiPriority w:val="99"/>
    <w:semiHidden/>
    <w:unhideWhenUsed/>
    <w:rsid w:val="008F2B61"/>
    <w:pPr>
      <w:spacing w:line="240" w:lineRule="auto"/>
    </w:pPr>
    <w:rPr>
      <w:sz w:val="20"/>
      <w:szCs w:val="20"/>
    </w:rPr>
  </w:style>
  <w:style w:type="character" w:customStyle="1" w:styleId="CommentTextChar">
    <w:name w:val="Comment Text Char"/>
    <w:basedOn w:val="DefaultParagraphFont"/>
    <w:link w:val="CommentText"/>
    <w:uiPriority w:val="99"/>
    <w:semiHidden/>
    <w:rsid w:val="008F2B61"/>
    <w:rPr>
      <w:sz w:val="20"/>
      <w:szCs w:val="20"/>
    </w:rPr>
  </w:style>
  <w:style w:type="paragraph" w:styleId="CommentSubject">
    <w:name w:val="annotation subject"/>
    <w:basedOn w:val="CommentText"/>
    <w:next w:val="CommentText"/>
    <w:link w:val="CommentSubjectChar"/>
    <w:uiPriority w:val="99"/>
    <w:semiHidden/>
    <w:unhideWhenUsed/>
    <w:rsid w:val="008F2B61"/>
    <w:rPr>
      <w:b/>
      <w:bCs/>
    </w:rPr>
  </w:style>
  <w:style w:type="character" w:customStyle="1" w:styleId="CommentSubjectChar">
    <w:name w:val="Comment Subject Char"/>
    <w:basedOn w:val="CommentTextChar"/>
    <w:link w:val="CommentSubject"/>
    <w:uiPriority w:val="99"/>
    <w:semiHidden/>
    <w:rsid w:val="008F2B61"/>
    <w:rPr>
      <w:b/>
      <w:bCs/>
      <w:sz w:val="20"/>
      <w:szCs w:val="20"/>
    </w:rPr>
  </w:style>
  <w:style w:type="paragraph" w:styleId="BalloonText">
    <w:name w:val="Balloon Text"/>
    <w:basedOn w:val="Normal"/>
    <w:link w:val="BalloonTextChar"/>
    <w:uiPriority w:val="99"/>
    <w:semiHidden/>
    <w:unhideWhenUsed/>
    <w:rsid w:val="008F2B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B61"/>
    <w:rPr>
      <w:rFonts w:ascii="Times New Roman" w:hAnsi="Times New Roman" w:cs="Times New Roman"/>
      <w:sz w:val="18"/>
      <w:szCs w:val="18"/>
    </w:rPr>
  </w:style>
  <w:style w:type="character" w:styleId="Hyperlink">
    <w:name w:val="Hyperlink"/>
    <w:basedOn w:val="DefaultParagraphFont"/>
    <w:uiPriority w:val="99"/>
    <w:unhideWhenUsed/>
    <w:rsid w:val="008A2389"/>
    <w:rPr>
      <w:color w:val="0563C1" w:themeColor="hyperlink"/>
      <w:u w:val="single"/>
    </w:rPr>
  </w:style>
  <w:style w:type="character" w:styleId="FollowedHyperlink">
    <w:name w:val="FollowedHyperlink"/>
    <w:basedOn w:val="DefaultParagraphFont"/>
    <w:uiPriority w:val="99"/>
    <w:semiHidden/>
    <w:unhideWhenUsed/>
    <w:rsid w:val="008A2389"/>
    <w:rPr>
      <w:color w:val="954F72" w:themeColor="followedHyperlink"/>
      <w:u w:val="single"/>
    </w:rPr>
  </w:style>
  <w:style w:type="character" w:customStyle="1" w:styleId="UnresolvedMention1">
    <w:name w:val="Unresolved Mention1"/>
    <w:basedOn w:val="DefaultParagraphFont"/>
    <w:uiPriority w:val="99"/>
    <w:semiHidden/>
    <w:unhideWhenUsed/>
    <w:rsid w:val="00632A4E"/>
    <w:rPr>
      <w:color w:val="605E5C"/>
      <w:shd w:val="clear" w:color="auto" w:fill="E1DFDD"/>
    </w:rPr>
  </w:style>
  <w:style w:type="character" w:styleId="UnresolvedMention">
    <w:name w:val="Unresolved Mention"/>
    <w:basedOn w:val="DefaultParagraphFont"/>
    <w:uiPriority w:val="99"/>
    <w:semiHidden/>
    <w:unhideWhenUsed/>
    <w:rsid w:val="005E1378"/>
    <w:rPr>
      <w:color w:val="605E5C"/>
      <w:shd w:val="clear" w:color="auto" w:fill="E1DFDD"/>
    </w:rPr>
  </w:style>
  <w:style w:type="paragraph" w:styleId="TOCHeading">
    <w:name w:val="TOC Heading"/>
    <w:basedOn w:val="Heading1"/>
    <w:next w:val="Normal"/>
    <w:uiPriority w:val="39"/>
    <w:unhideWhenUsed/>
    <w:qFormat/>
    <w:rsid w:val="00DE1145"/>
    <w:pPr>
      <w:spacing w:before="480" w:line="276" w:lineRule="auto"/>
      <w:outlineLvl w:val="9"/>
    </w:pPr>
    <w:rPr>
      <w:b/>
      <w:bCs/>
      <w:sz w:val="28"/>
      <w:szCs w:val="28"/>
    </w:rPr>
  </w:style>
  <w:style w:type="paragraph" w:styleId="TOC1">
    <w:name w:val="toc 1"/>
    <w:basedOn w:val="Normal"/>
    <w:next w:val="Normal"/>
    <w:autoRedefine/>
    <w:uiPriority w:val="39"/>
    <w:unhideWhenUsed/>
    <w:rsid w:val="00DE1145"/>
    <w:pPr>
      <w:spacing w:before="120" w:after="0"/>
    </w:pPr>
    <w:rPr>
      <w:rFonts w:cstheme="minorHAnsi"/>
      <w:b/>
      <w:bCs/>
      <w:i/>
      <w:iCs/>
      <w:sz w:val="24"/>
      <w:szCs w:val="24"/>
    </w:rPr>
  </w:style>
  <w:style w:type="paragraph" w:styleId="TOC2">
    <w:name w:val="toc 2"/>
    <w:basedOn w:val="Normal"/>
    <w:next w:val="Normal"/>
    <w:autoRedefine/>
    <w:uiPriority w:val="39"/>
    <w:unhideWhenUsed/>
    <w:rsid w:val="00DE1145"/>
    <w:pPr>
      <w:spacing w:before="120" w:after="0"/>
      <w:ind w:left="220"/>
    </w:pPr>
    <w:rPr>
      <w:rFonts w:cstheme="minorHAnsi"/>
      <w:b/>
      <w:bCs/>
    </w:rPr>
  </w:style>
  <w:style w:type="paragraph" w:styleId="TOC3">
    <w:name w:val="toc 3"/>
    <w:basedOn w:val="Normal"/>
    <w:next w:val="Normal"/>
    <w:autoRedefine/>
    <w:uiPriority w:val="39"/>
    <w:semiHidden/>
    <w:unhideWhenUsed/>
    <w:rsid w:val="00DE1145"/>
    <w:pPr>
      <w:spacing w:after="0"/>
      <w:ind w:left="440"/>
    </w:pPr>
    <w:rPr>
      <w:rFonts w:cstheme="minorHAnsi"/>
      <w:sz w:val="20"/>
      <w:szCs w:val="20"/>
    </w:rPr>
  </w:style>
  <w:style w:type="paragraph" w:styleId="TOC4">
    <w:name w:val="toc 4"/>
    <w:basedOn w:val="Normal"/>
    <w:next w:val="Normal"/>
    <w:autoRedefine/>
    <w:uiPriority w:val="39"/>
    <w:semiHidden/>
    <w:unhideWhenUsed/>
    <w:rsid w:val="00DE1145"/>
    <w:pPr>
      <w:spacing w:after="0"/>
      <w:ind w:left="660"/>
    </w:pPr>
    <w:rPr>
      <w:rFonts w:cstheme="minorHAnsi"/>
      <w:sz w:val="20"/>
      <w:szCs w:val="20"/>
    </w:rPr>
  </w:style>
  <w:style w:type="paragraph" w:styleId="TOC5">
    <w:name w:val="toc 5"/>
    <w:basedOn w:val="Normal"/>
    <w:next w:val="Normal"/>
    <w:autoRedefine/>
    <w:uiPriority w:val="39"/>
    <w:semiHidden/>
    <w:unhideWhenUsed/>
    <w:rsid w:val="00DE1145"/>
    <w:pPr>
      <w:spacing w:after="0"/>
      <w:ind w:left="880"/>
    </w:pPr>
    <w:rPr>
      <w:rFonts w:cstheme="minorHAnsi"/>
      <w:sz w:val="20"/>
      <w:szCs w:val="20"/>
    </w:rPr>
  </w:style>
  <w:style w:type="paragraph" w:styleId="TOC6">
    <w:name w:val="toc 6"/>
    <w:basedOn w:val="Normal"/>
    <w:next w:val="Normal"/>
    <w:autoRedefine/>
    <w:uiPriority w:val="39"/>
    <w:semiHidden/>
    <w:unhideWhenUsed/>
    <w:rsid w:val="00DE1145"/>
    <w:pPr>
      <w:spacing w:after="0"/>
      <w:ind w:left="1100"/>
    </w:pPr>
    <w:rPr>
      <w:rFonts w:cstheme="minorHAnsi"/>
      <w:sz w:val="20"/>
      <w:szCs w:val="20"/>
    </w:rPr>
  </w:style>
  <w:style w:type="paragraph" w:styleId="TOC7">
    <w:name w:val="toc 7"/>
    <w:basedOn w:val="Normal"/>
    <w:next w:val="Normal"/>
    <w:autoRedefine/>
    <w:uiPriority w:val="39"/>
    <w:semiHidden/>
    <w:unhideWhenUsed/>
    <w:rsid w:val="00DE1145"/>
    <w:pPr>
      <w:spacing w:after="0"/>
      <w:ind w:left="1320"/>
    </w:pPr>
    <w:rPr>
      <w:rFonts w:cstheme="minorHAnsi"/>
      <w:sz w:val="20"/>
      <w:szCs w:val="20"/>
    </w:rPr>
  </w:style>
  <w:style w:type="paragraph" w:styleId="TOC8">
    <w:name w:val="toc 8"/>
    <w:basedOn w:val="Normal"/>
    <w:next w:val="Normal"/>
    <w:autoRedefine/>
    <w:uiPriority w:val="39"/>
    <w:semiHidden/>
    <w:unhideWhenUsed/>
    <w:rsid w:val="00DE1145"/>
    <w:pPr>
      <w:spacing w:after="0"/>
      <w:ind w:left="1540"/>
    </w:pPr>
    <w:rPr>
      <w:rFonts w:cstheme="minorHAnsi"/>
      <w:sz w:val="20"/>
      <w:szCs w:val="20"/>
    </w:rPr>
  </w:style>
  <w:style w:type="paragraph" w:styleId="TOC9">
    <w:name w:val="toc 9"/>
    <w:basedOn w:val="Normal"/>
    <w:next w:val="Normal"/>
    <w:autoRedefine/>
    <w:uiPriority w:val="39"/>
    <w:semiHidden/>
    <w:unhideWhenUsed/>
    <w:rsid w:val="00DE1145"/>
    <w:pPr>
      <w:spacing w:after="0"/>
      <w:ind w:left="1760"/>
    </w:pPr>
    <w:rPr>
      <w:rFonts w:cstheme="minorHAnsi"/>
      <w:sz w:val="20"/>
      <w:szCs w:val="20"/>
    </w:rPr>
  </w:style>
  <w:style w:type="character" w:customStyle="1" w:styleId="apple-converted-space">
    <w:name w:val="apple-converted-space"/>
    <w:basedOn w:val="DefaultParagraphFont"/>
    <w:rsid w:val="003E6482"/>
  </w:style>
  <w:style w:type="table" w:styleId="GridTable1Light-Accent5">
    <w:name w:val="Grid Table 1 Light Accent 5"/>
    <w:basedOn w:val="TableNormal"/>
    <w:uiPriority w:val="46"/>
    <w:rsid w:val="003E648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E64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E64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E64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3E648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3E64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unhideWhenUsed/>
    <w:rsid w:val="002D5D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6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3">
    <w:name w:val="CM23"/>
    <w:basedOn w:val="Default"/>
    <w:next w:val="Default"/>
    <w:uiPriority w:val="99"/>
    <w:rsid w:val="00ED66A5"/>
    <w:rPr>
      <w:color w:val="auto"/>
    </w:rPr>
  </w:style>
  <w:style w:type="paragraph" w:customStyle="1" w:styleId="CM11">
    <w:name w:val="CM11"/>
    <w:basedOn w:val="Default"/>
    <w:next w:val="Default"/>
    <w:uiPriority w:val="99"/>
    <w:rsid w:val="001E0CBC"/>
    <w:pPr>
      <w:spacing w:line="276" w:lineRule="atLeast"/>
    </w:pPr>
    <w:rPr>
      <w:color w:val="auto"/>
    </w:rPr>
  </w:style>
  <w:style w:type="character" w:styleId="PageNumber">
    <w:name w:val="page number"/>
    <w:basedOn w:val="DefaultParagraphFont"/>
    <w:uiPriority w:val="99"/>
    <w:semiHidden/>
    <w:unhideWhenUsed/>
    <w:rsid w:val="003F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626">
      <w:bodyDiv w:val="1"/>
      <w:marLeft w:val="0"/>
      <w:marRight w:val="0"/>
      <w:marTop w:val="0"/>
      <w:marBottom w:val="0"/>
      <w:divBdr>
        <w:top w:val="none" w:sz="0" w:space="0" w:color="auto"/>
        <w:left w:val="none" w:sz="0" w:space="0" w:color="auto"/>
        <w:bottom w:val="none" w:sz="0" w:space="0" w:color="auto"/>
        <w:right w:val="none" w:sz="0" w:space="0" w:color="auto"/>
      </w:divBdr>
      <w:divsChild>
        <w:div w:id="235360525">
          <w:marLeft w:val="0"/>
          <w:marRight w:val="0"/>
          <w:marTop w:val="0"/>
          <w:marBottom w:val="0"/>
          <w:divBdr>
            <w:top w:val="none" w:sz="0" w:space="0" w:color="auto"/>
            <w:left w:val="none" w:sz="0" w:space="0" w:color="auto"/>
            <w:bottom w:val="none" w:sz="0" w:space="0" w:color="auto"/>
            <w:right w:val="none" w:sz="0" w:space="0" w:color="auto"/>
          </w:divBdr>
          <w:divsChild>
            <w:div w:id="405223211">
              <w:marLeft w:val="0"/>
              <w:marRight w:val="0"/>
              <w:marTop w:val="0"/>
              <w:marBottom w:val="0"/>
              <w:divBdr>
                <w:top w:val="none" w:sz="0" w:space="0" w:color="auto"/>
                <w:left w:val="none" w:sz="0" w:space="0" w:color="auto"/>
                <w:bottom w:val="none" w:sz="0" w:space="0" w:color="auto"/>
                <w:right w:val="none" w:sz="0" w:space="0" w:color="auto"/>
              </w:divBdr>
              <w:divsChild>
                <w:div w:id="11299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008">
      <w:bodyDiv w:val="1"/>
      <w:marLeft w:val="0"/>
      <w:marRight w:val="0"/>
      <w:marTop w:val="0"/>
      <w:marBottom w:val="0"/>
      <w:divBdr>
        <w:top w:val="none" w:sz="0" w:space="0" w:color="auto"/>
        <w:left w:val="none" w:sz="0" w:space="0" w:color="auto"/>
        <w:bottom w:val="none" w:sz="0" w:space="0" w:color="auto"/>
        <w:right w:val="none" w:sz="0" w:space="0" w:color="auto"/>
      </w:divBdr>
      <w:divsChild>
        <w:div w:id="1113599983">
          <w:marLeft w:val="0"/>
          <w:marRight w:val="0"/>
          <w:marTop w:val="0"/>
          <w:marBottom w:val="0"/>
          <w:divBdr>
            <w:top w:val="none" w:sz="0" w:space="0" w:color="auto"/>
            <w:left w:val="none" w:sz="0" w:space="0" w:color="auto"/>
            <w:bottom w:val="none" w:sz="0" w:space="0" w:color="auto"/>
            <w:right w:val="none" w:sz="0" w:space="0" w:color="auto"/>
          </w:divBdr>
          <w:divsChild>
            <w:div w:id="1225142641">
              <w:marLeft w:val="0"/>
              <w:marRight w:val="0"/>
              <w:marTop w:val="0"/>
              <w:marBottom w:val="0"/>
              <w:divBdr>
                <w:top w:val="none" w:sz="0" w:space="0" w:color="auto"/>
                <w:left w:val="none" w:sz="0" w:space="0" w:color="auto"/>
                <w:bottom w:val="none" w:sz="0" w:space="0" w:color="auto"/>
                <w:right w:val="none" w:sz="0" w:space="0" w:color="auto"/>
              </w:divBdr>
              <w:divsChild>
                <w:div w:id="1661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5631">
      <w:bodyDiv w:val="1"/>
      <w:marLeft w:val="0"/>
      <w:marRight w:val="0"/>
      <w:marTop w:val="0"/>
      <w:marBottom w:val="0"/>
      <w:divBdr>
        <w:top w:val="none" w:sz="0" w:space="0" w:color="auto"/>
        <w:left w:val="none" w:sz="0" w:space="0" w:color="auto"/>
        <w:bottom w:val="none" w:sz="0" w:space="0" w:color="auto"/>
        <w:right w:val="none" w:sz="0" w:space="0" w:color="auto"/>
      </w:divBdr>
      <w:divsChild>
        <w:div w:id="2111655942">
          <w:marLeft w:val="374"/>
          <w:marRight w:val="0"/>
          <w:marTop w:val="240"/>
          <w:marBottom w:val="40"/>
          <w:divBdr>
            <w:top w:val="none" w:sz="0" w:space="0" w:color="auto"/>
            <w:left w:val="none" w:sz="0" w:space="0" w:color="auto"/>
            <w:bottom w:val="none" w:sz="0" w:space="0" w:color="auto"/>
            <w:right w:val="none" w:sz="0" w:space="0" w:color="auto"/>
          </w:divBdr>
        </w:div>
      </w:divsChild>
    </w:div>
    <w:div w:id="557714655">
      <w:bodyDiv w:val="1"/>
      <w:marLeft w:val="0"/>
      <w:marRight w:val="0"/>
      <w:marTop w:val="0"/>
      <w:marBottom w:val="0"/>
      <w:divBdr>
        <w:top w:val="none" w:sz="0" w:space="0" w:color="auto"/>
        <w:left w:val="none" w:sz="0" w:space="0" w:color="auto"/>
        <w:bottom w:val="none" w:sz="0" w:space="0" w:color="auto"/>
        <w:right w:val="none" w:sz="0" w:space="0" w:color="auto"/>
      </w:divBdr>
    </w:div>
    <w:div w:id="1229803437">
      <w:bodyDiv w:val="1"/>
      <w:marLeft w:val="0"/>
      <w:marRight w:val="0"/>
      <w:marTop w:val="0"/>
      <w:marBottom w:val="0"/>
      <w:divBdr>
        <w:top w:val="none" w:sz="0" w:space="0" w:color="auto"/>
        <w:left w:val="none" w:sz="0" w:space="0" w:color="auto"/>
        <w:bottom w:val="none" w:sz="0" w:space="0" w:color="auto"/>
        <w:right w:val="none" w:sz="0" w:space="0" w:color="auto"/>
      </w:divBdr>
      <w:divsChild>
        <w:div w:id="166409562">
          <w:marLeft w:val="0"/>
          <w:marRight w:val="0"/>
          <w:marTop w:val="0"/>
          <w:marBottom w:val="0"/>
          <w:divBdr>
            <w:top w:val="none" w:sz="0" w:space="0" w:color="auto"/>
            <w:left w:val="none" w:sz="0" w:space="0" w:color="auto"/>
            <w:bottom w:val="none" w:sz="0" w:space="0" w:color="auto"/>
            <w:right w:val="none" w:sz="0" w:space="0" w:color="auto"/>
          </w:divBdr>
          <w:divsChild>
            <w:div w:id="536820774">
              <w:marLeft w:val="0"/>
              <w:marRight w:val="0"/>
              <w:marTop w:val="0"/>
              <w:marBottom w:val="0"/>
              <w:divBdr>
                <w:top w:val="none" w:sz="0" w:space="0" w:color="auto"/>
                <w:left w:val="none" w:sz="0" w:space="0" w:color="auto"/>
                <w:bottom w:val="none" w:sz="0" w:space="0" w:color="auto"/>
                <w:right w:val="none" w:sz="0" w:space="0" w:color="auto"/>
              </w:divBdr>
              <w:divsChild>
                <w:div w:id="912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6381">
      <w:bodyDiv w:val="1"/>
      <w:marLeft w:val="0"/>
      <w:marRight w:val="0"/>
      <w:marTop w:val="0"/>
      <w:marBottom w:val="0"/>
      <w:divBdr>
        <w:top w:val="none" w:sz="0" w:space="0" w:color="auto"/>
        <w:left w:val="none" w:sz="0" w:space="0" w:color="auto"/>
        <w:bottom w:val="none" w:sz="0" w:space="0" w:color="auto"/>
        <w:right w:val="none" w:sz="0" w:space="0" w:color="auto"/>
      </w:divBdr>
      <w:divsChild>
        <w:div w:id="1024551231">
          <w:marLeft w:val="0"/>
          <w:marRight w:val="0"/>
          <w:marTop w:val="0"/>
          <w:marBottom w:val="0"/>
          <w:divBdr>
            <w:top w:val="none" w:sz="0" w:space="0" w:color="auto"/>
            <w:left w:val="none" w:sz="0" w:space="0" w:color="auto"/>
            <w:bottom w:val="none" w:sz="0" w:space="0" w:color="auto"/>
            <w:right w:val="none" w:sz="0" w:space="0" w:color="auto"/>
          </w:divBdr>
          <w:divsChild>
            <w:div w:id="1267885522">
              <w:marLeft w:val="0"/>
              <w:marRight w:val="0"/>
              <w:marTop w:val="0"/>
              <w:marBottom w:val="0"/>
              <w:divBdr>
                <w:top w:val="none" w:sz="0" w:space="0" w:color="auto"/>
                <w:left w:val="none" w:sz="0" w:space="0" w:color="auto"/>
                <w:bottom w:val="none" w:sz="0" w:space="0" w:color="auto"/>
                <w:right w:val="none" w:sz="0" w:space="0" w:color="auto"/>
              </w:divBdr>
              <w:divsChild>
                <w:div w:id="9818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1123">
      <w:bodyDiv w:val="1"/>
      <w:marLeft w:val="0"/>
      <w:marRight w:val="0"/>
      <w:marTop w:val="0"/>
      <w:marBottom w:val="0"/>
      <w:divBdr>
        <w:top w:val="none" w:sz="0" w:space="0" w:color="auto"/>
        <w:left w:val="none" w:sz="0" w:space="0" w:color="auto"/>
        <w:bottom w:val="none" w:sz="0" w:space="0" w:color="auto"/>
        <w:right w:val="none" w:sz="0" w:space="0" w:color="auto"/>
      </w:divBdr>
      <w:divsChild>
        <w:div w:id="1279336926">
          <w:marLeft w:val="0"/>
          <w:marRight w:val="0"/>
          <w:marTop w:val="0"/>
          <w:marBottom w:val="0"/>
          <w:divBdr>
            <w:top w:val="none" w:sz="0" w:space="0" w:color="auto"/>
            <w:left w:val="none" w:sz="0" w:space="0" w:color="auto"/>
            <w:bottom w:val="none" w:sz="0" w:space="0" w:color="auto"/>
            <w:right w:val="none" w:sz="0" w:space="0" w:color="auto"/>
          </w:divBdr>
          <w:divsChild>
            <w:div w:id="332879678">
              <w:marLeft w:val="0"/>
              <w:marRight w:val="0"/>
              <w:marTop w:val="0"/>
              <w:marBottom w:val="0"/>
              <w:divBdr>
                <w:top w:val="none" w:sz="0" w:space="0" w:color="auto"/>
                <w:left w:val="none" w:sz="0" w:space="0" w:color="auto"/>
                <w:bottom w:val="none" w:sz="0" w:space="0" w:color="auto"/>
                <w:right w:val="none" w:sz="0" w:space="0" w:color="auto"/>
              </w:divBdr>
              <w:divsChild>
                <w:div w:id="919362991">
                  <w:marLeft w:val="0"/>
                  <w:marRight w:val="0"/>
                  <w:marTop w:val="0"/>
                  <w:marBottom w:val="0"/>
                  <w:divBdr>
                    <w:top w:val="none" w:sz="0" w:space="0" w:color="auto"/>
                    <w:left w:val="none" w:sz="0" w:space="0" w:color="auto"/>
                    <w:bottom w:val="none" w:sz="0" w:space="0" w:color="auto"/>
                    <w:right w:val="none" w:sz="0" w:space="0" w:color="auto"/>
                  </w:divBdr>
                </w:div>
              </w:divsChild>
            </w:div>
            <w:div w:id="163126633">
              <w:marLeft w:val="0"/>
              <w:marRight w:val="0"/>
              <w:marTop w:val="0"/>
              <w:marBottom w:val="0"/>
              <w:divBdr>
                <w:top w:val="none" w:sz="0" w:space="0" w:color="auto"/>
                <w:left w:val="none" w:sz="0" w:space="0" w:color="auto"/>
                <w:bottom w:val="none" w:sz="0" w:space="0" w:color="auto"/>
                <w:right w:val="none" w:sz="0" w:space="0" w:color="auto"/>
              </w:divBdr>
              <w:divsChild>
                <w:div w:id="281570612">
                  <w:marLeft w:val="0"/>
                  <w:marRight w:val="0"/>
                  <w:marTop w:val="0"/>
                  <w:marBottom w:val="0"/>
                  <w:divBdr>
                    <w:top w:val="none" w:sz="0" w:space="0" w:color="auto"/>
                    <w:left w:val="none" w:sz="0" w:space="0" w:color="auto"/>
                    <w:bottom w:val="none" w:sz="0" w:space="0" w:color="auto"/>
                    <w:right w:val="none" w:sz="0" w:space="0" w:color="auto"/>
                  </w:divBdr>
                </w:div>
              </w:divsChild>
            </w:div>
            <w:div w:id="622342890">
              <w:marLeft w:val="0"/>
              <w:marRight w:val="0"/>
              <w:marTop w:val="0"/>
              <w:marBottom w:val="0"/>
              <w:divBdr>
                <w:top w:val="none" w:sz="0" w:space="0" w:color="auto"/>
                <w:left w:val="none" w:sz="0" w:space="0" w:color="auto"/>
                <w:bottom w:val="none" w:sz="0" w:space="0" w:color="auto"/>
                <w:right w:val="none" w:sz="0" w:space="0" w:color="auto"/>
              </w:divBdr>
              <w:divsChild>
                <w:div w:id="1407455407">
                  <w:marLeft w:val="0"/>
                  <w:marRight w:val="0"/>
                  <w:marTop w:val="0"/>
                  <w:marBottom w:val="0"/>
                  <w:divBdr>
                    <w:top w:val="none" w:sz="0" w:space="0" w:color="auto"/>
                    <w:left w:val="none" w:sz="0" w:space="0" w:color="auto"/>
                    <w:bottom w:val="none" w:sz="0" w:space="0" w:color="auto"/>
                    <w:right w:val="none" w:sz="0" w:space="0" w:color="auto"/>
                  </w:divBdr>
                </w:div>
              </w:divsChild>
            </w:div>
            <w:div w:id="1537350106">
              <w:marLeft w:val="0"/>
              <w:marRight w:val="0"/>
              <w:marTop w:val="0"/>
              <w:marBottom w:val="0"/>
              <w:divBdr>
                <w:top w:val="none" w:sz="0" w:space="0" w:color="auto"/>
                <w:left w:val="none" w:sz="0" w:space="0" w:color="auto"/>
                <w:bottom w:val="none" w:sz="0" w:space="0" w:color="auto"/>
                <w:right w:val="none" w:sz="0" w:space="0" w:color="auto"/>
              </w:divBdr>
              <w:divsChild>
                <w:div w:id="1271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447">
      <w:bodyDiv w:val="1"/>
      <w:marLeft w:val="0"/>
      <w:marRight w:val="0"/>
      <w:marTop w:val="0"/>
      <w:marBottom w:val="0"/>
      <w:divBdr>
        <w:top w:val="none" w:sz="0" w:space="0" w:color="auto"/>
        <w:left w:val="none" w:sz="0" w:space="0" w:color="auto"/>
        <w:bottom w:val="none" w:sz="0" w:space="0" w:color="auto"/>
        <w:right w:val="none" w:sz="0" w:space="0" w:color="auto"/>
      </w:divBdr>
      <w:divsChild>
        <w:div w:id="149636123">
          <w:marLeft w:val="0"/>
          <w:marRight w:val="0"/>
          <w:marTop w:val="0"/>
          <w:marBottom w:val="0"/>
          <w:divBdr>
            <w:top w:val="none" w:sz="0" w:space="0" w:color="auto"/>
            <w:left w:val="none" w:sz="0" w:space="0" w:color="auto"/>
            <w:bottom w:val="none" w:sz="0" w:space="0" w:color="auto"/>
            <w:right w:val="none" w:sz="0" w:space="0" w:color="auto"/>
          </w:divBdr>
          <w:divsChild>
            <w:div w:id="1438678435">
              <w:marLeft w:val="0"/>
              <w:marRight w:val="0"/>
              <w:marTop w:val="0"/>
              <w:marBottom w:val="0"/>
              <w:divBdr>
                <w:top w:val="none" w:sz="0" w:space="0" w:color="auto"/>
                <w:left w:val="none" w:sz="0" w:space="0" w:color="auto"/>
                <w:bottom w:val="none" w:sz="0" w:space="0" w:color="auto"/>
                <w:right w:val="none" w:sz="0" w:space="0" w:color="auto"/>
              </w:divBdr>
              <w:divsChild>
                <w:div w:id="715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6007/availability-of-waivers-of-community-cpd-grant-program-and-consolidated-plan-requirements-to-prevent-the-spread-of-covid19-and-mitigate-economic-impacts-caused-by-covid19/?utm_source=HUD+Exchange+Mailing+List&amp;utm_campaign=912c2a3df8-COVID-19-SNAPS-Waivers-4.1.20&amp;utm_medium=email&amp;utm_term=0_f32b935a5f-912c2a3df8-18679157" TargetMode="External"/><Relationship Id="rId13" Type="http://schemas.openxmlformats.org/officeDocument/2006/relationships/hyperlink" Target="http://www.ctbos.org/wp-content/uploads/2019/09/CT-RRH-Guidelines_July-2019_FINAL.docx" TargetMode="External"/><Relationship Id="rId18" Type="http://schemas.openxmlformats.org/officeDocument/2006/relationships/hyperlink" Target="http://www.ctbos.org/wp-content/uploads/2019/12/Disabling-condition-CT-BOS-CoC-Form-re.-10.10.19.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tbos.org/wp-content/uploads/2019/09/CT-RRH-Guidelines_July-2019_FINAL.docx" TargetMode="External"/><Relationship Id="rId17" Type="http://schemas.openxmlformats.org/officeDocument/2006/relationships/hyperlink" Target="http://www.ctbos.org/wp-content/uploads/2019/12/Disabling-condition-CT-BOS-CoC-Form-re.-10.10.19.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tbos.org/resources" TargetMode="External"/><Relationship Id="rId20" Type="http://schemas.openxmlformats.org/officeDocument/2006/relationships/hyperlink" Target="http://www.ctbos.org/wp-content/uploads/2019/12/No-Income-Verification-v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bos.org/wp-content/uploads/2020/10/Memo-2020.10.07-CoC-ESG-Waivers-v5.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tbos.org/resour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ud.gov/sites/dfiles/CPD/documents/CPD-COVID-19-Waiver-3-Final-Clean.pdf" TargetMode="External"/><Relationship Id="rId19" Type="http://schemas.openxmlformats.org/officeDocument/2006/relationships/hyperlink" Target="https://www.ctbos.org/wp-content/uploads/2020/04/CTBOS-Disabling-cond.verification-w.-self-certv6.docx" TargetMode="External"/><Relationship Id="rId4" Type="http://schemas.openxmlformats.org/officeDocument/2006/relationships/settings" Target="settings.xml"/><Relationship Id="rId9" Type="http://schemas.openxmlformats.org/officeDocument/2006/relationships/hyperlink" Target="https://www.hud.gov/sites/dfiles/CPD/documents/Additional_Waivers_for_CPD_Grant_Programs_to_Prevent_COVID-19_Spread_and_Mitigate_COVID-19_Economic_Impacts.pdf?utm_source=HUD+Exchange+Mailing+List&amp;utm_campaign=6dafa660a1-SNAPS-COVID-19-Digest-05-26-2020&amp;utm_medium=email&amp;utm_term=0_f32b935a5f-6dafa660a1-18679157" TargetMode="External"/><Relationship Id="rId14" Type="http://schemas.openxmlformats.org/officeDocument/2006/relationships/hyperlink" Target="https://www.hudexchange.info/programs/coc/covid-19-grant-agreement-amendmen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A09C-7979-428F-A560-D2B04960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9685</Words>
  <Characters>51818</Characters>
  <Application>Microsoft Office Word</Application>
  <DocSecurity>0</DocSecurity>
  <Lines>1233</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Shannon Quinn-Sheeran</cp:lastModifiedBy>
  <cp:revision>3</cp:revision>
  <dcterms:created xsi:type="dcterms:W3CDTF">2020-10-12T15:34:00Z</dcterms:created>
  <dcterms:modified xsi:type="dcterms:W3CDTF">2020-10-12T15:44:00Z</dcterms:modified>
</cp:coreProperties>
</file>