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1DA9" w14:textId="7D41A0A0" w:rsidR="003318BC" w:rsidRDefault="00090206" w:rsidP="00090206">
      <w:pPr>
        <w:pStyle w:val="Heading1"/>
      </w:pPr>
      <w:r>
        <w:t>HUD Continuum of Care NOFO 2023</w:t>
      </w:r>
    </w:p>
    <w:p w14:paraId="1E9BADAA" w14:textId="6F6B7694" w:rsidR="00090206" w:rsidRDefault="00090206" w:rsidP="00090206">
      <w:r>
        <w:t>Deadline:  September 28, 2023</w:t>
      </w:r>
    </w:p>
    <w:p w14:paraId="06EF0B44" w14:textId="5537BA94" w:rsidR="00090206" w:rsidRDefault="00090206" w:rsidP="00090206">
      <w:pPr>
        <w:pStyle w:val="Heading2"/>
      </w:pPr>
      <w:r>
        <w:t>Fundin</w:t>
      </w:r>
      <w:r w:rsidR="006E34D2">
        <w:t xml:space="preserve">g </w:t>
      </w:r>
    </w:p>
    <w:p w14:paraId="47E29777" w14:textId="6786FDAF" w:rsidR="002266B8" w:rsidRDefault="00025928" w:rsidP="002266B8">
      <w:pPr>
        <w:pStyle w:val="ListParagraph"/>
        <w:numPr>
          <w:ilvl w:val="0"/>
          <w:numId w:val="10"/>
        </w:numPr>
      </w:pPr>
      <w:r w:rsidRPr="00B61E06">
        <w:t xml:space="preserve">Tier 1 = 93% of </w:t>
      </w:r>
      <w:r w:rsidR="002266B8">
        <w:t>Annual Renewal Demand (</w:t>
      </w:r>
      <w:r w:rsidRPr="00B61E06">
        <w:t>ARD</w:t>
      </w:r>
      <w:r w:rsidR="00466F18">
        <w:rPr>
          <w:rStyle w:val="FootnoteReference"/>
        </w:rPr>
        <w:footnoteReference w:id="1"/>
      </w:r>
      <w:r w:rsidR="002266B8">
        <w:t>)</w:t>
      </w:r>
      <w:r w:rsidRPr="00B61E06">
        <w:t xml:space="preserve"> minus Annual Renewal </w:t>
      </w:r>
      <w:r w:rsidR="002266B8">
        <w:t>Amount</w:t>
      </w:r>
      <w:r w:rsidR="004D3551">
        <w:t>s</w:t>
      </w:r>
      <w:r w:rsidRPr="00B61E06">
        <w:t xml:space="preserve"> (AR</w:t>
      </w:r>
      <w:r w:rsidR="002266B8">
        <w:t>A</w:t>
      </w:r>
      <w:r w:rsidR="00466F18">
        <w:rPr>
          <w:rStyle w:val="FootnoteReference"/>
        </w:rPr>
        <w:footnoteReference w:id="2"/>
      </w:r>
      <w:r w:rsidRPr="00B61E06">
        <w:t>) of YHDP renewal and replacement projects initially awarded through FY2017 YHDP (Round 2) Competition or later.</w:t>
      </w:r>
    </w:p>
    <w:p w14:paraId="3A08ED74" w14:textId="55B6D7FB" w:rsidR="00A3611E" w:rsidRDefault="00A3611E" w:rsidP="002266B8">
      <w:pPr>
        <w:pStyle w:val="ListParagraph"/>
        <w:numPr>
          <w:ilvl w:val="0"/>
          <w:numId w:val="10"/>
        </w:numPr>
      </w:pPr>
      <w:r>
        <w:t>CoC Bonus:</w:t>
      </w:r>
      <w:r w:rsidR="006D0740">
        <w:t xml:space="preserve"> </w:t>
      </w:r>
      <w:r>
        <w:t>7% of the Final Pro Rata Need (FPRN</w:t>
      </w:r>
      <w:r>
        <w:rPr>
          <w:rStyle w:val="FootnoteReference"/>
        </w:rPr>
        <w:footnoteReference w:id="3"/>
      </w:r>
      <w:r>
        <w:t>)</w:t>
      </w:r>
    </w:p>
    <w:p w14:paraId="5EFD52D2" w14:textId="591AB890" w:rsidR="00025928" w:rsidRDefault="00025928" w:rsidP="00025928">
      <w:pPr>
        <w:pStyle w:val="ListParagraph"/>
        <w:numPr>
          <w:ilvl w:val="0"/>
          <w:numId w:val="10"/>
        </w:numPr>
      </w:pPr>
      <w:r>
        <w:t xml:space="preserve">Tier 2 = </w:t>
      </w:r>
      <w:r w:rsidR="002A6262">
        <w:t xml:space="preserve">Difference between </w:t>
      </w:r>
      <w:r>
        <w:t>Tier 1</w:t>
      </w:r>
      <w:r w:rsidR="002A6262">
        <w:t xml:space="preserve"> and</w:t>
      </w:r>
      <w:r>
        <w:t xml:space="preserve"> </w:t>
      </w:r>
      <w:r w:rsidR="006D0740">
        <w:t xml:space="preserve">the </w:t>
      </w:r>
      <w:r>
        <w:t xml:space="preserve">maximum amount of renewal, reallocation, Round 1 YHDP renewals &amp; replacements, and </w:t>
      </w:r>
      <w:r w:rsidR="002A6262">
        <w:t xml:space="preserve">CoC </w:t>
      </w:r>
      <w:r>
        <w:t xml:space="preserve">Bonus funds @ </w:t>
      </w:r>
      <w:r w:rsidR="002A6262">
        <w:t>7</w:t>
      </w:r>
      <w:r>
        <w:t>% of Final Pro Rata Need (FPRN)</w:t>
      </w:r>
      <w:r w:rsidR="006D0740">
        <w:t xml:space="preserve"> that a CoC can apply for</w:t>
      </w:r>
      <w:r w:rsidR="006E34D2">
        <w:t xml:space="preserve">. Note: Do not include: YHDP Renewals or Replacements from FY2017 (Round 2) or later, Planning, UFA or </w:t>
      </w:r>
      <w:r w:rsidR="006D0740">
        <w:t xml:space="preserve">projects selected with </w:t>
      </w:r>
      <w:r w:rsidR="006E34D2">
        <w:t>DV Bonus funds.</w:t>
      </w:r>
    </w:p>
    <w:p w14:paraId="18988557" w14:textId="72BD87B9" w:rsidR="002266B8" w:rsidRDefault="002266B8" w:rsidP="00025928">
      <w:pPr>
        <w:pStyle w:val="ListParagraph"/>
        <w:numPr>
          <w:ilvl w:val="0"/>
          <w:numId w:val="10"/>
        </w:numPr>
      </w:pPr>
      <w:r>
        <w:t xml:space="preserve">FY2016 YHDP (Round 1) </w:t>
      </w:r>
      <w:r w:rsidR="004D3551">
        <w:t xml:space="preserve">projects </w:t>
      </w:r>
      <w:r>
        <w:t>are being renewed competitively this year</w:t>
      </w:r>
      <w:r w:rsidR="001F7DC3">
        <w:t>, are included in the calculation of Tiers 1 and 2,</w:t>
      </w:r>
      <w:r w:rsidR="004D3551">
        <w:t xml:space="preserve"> and must be ranked</w:t>
      </w:r>
      <w:r>
        <w:t xml:space="preserve">.  FY2017 YHDP (Round 2) </w:t>
      </w:r>
      <w:r w:rsidR="004D3551">
        <w:t xml:space="preserve">projects </w:t>
      </w:r>
      <w:r>
        <w:t>and beyond continue to be awarded non-competitively</w:t>
      </w:r>
      <w:r w:rsidR="001F7DC3">
        <w:t>, are excluded from the calculation of Tiers 1 and 2</w:t>
      </w:r>
      <w:r w:rsidR="004D3551">
        <w:t xml:space="preserve"> and are not ranked</w:t>
      </w:r>
      <w:r>
        <w:t>.</w:t>
      </w:r>
    </w:p>
    <w:p w14:paraId="5FEBFE1A" w14:textId="2237CDA0" w:rsidR="006E34D2" w:rsidRPr="00B61E06" w:rsidRDefault="006E34D2" w:rsidP="00025928">
      <w:pPr>
        <w:pStyle w:val="ListParagraph"/>
        <w:numPr>
          <w:ilvl w:val="0"/>
          <w:numId w:val="10"/>
        </w:numPr>
      </w:pPr>
      <w:r w:rsidRPr="00B61E06">
        <w:t xml:space="preserve">DV Bonus Projects </w:t>
      </w:r>
      <w:r w:rsidR="005A6E27" w:rsidRPr="00B61E06">
        <w:t>@ 10% of Preliminary Pro Rata Need (PPRN</w:t>
      </w:r>
      <w:r w:rsidR="00466F18">
        <w:rPr>
          <w:rStyle w:val="FootnoteReference"/>
        </w:rPr>
        <w:footnoteReference w:id="4"/>
      </w:r>
      <w:r w:rsidR="005A6E27" w:rsidRPr="00B61E06">
        <w:t>)</w:t>
      </w:r>
    </w:p>
    <w:p w14:paraId="79F8C6EB" w14:textId="77777777" w:rsidR="00A3611E" w:rsidRPr="00DE6C03" w:rsidRDefault="00A3611E" w:rsidP="008105B3">
      <w:pPr>
        <w:pStyle w:val="ListParagraph"/>
        <w:numPr>
          <w:ilvl w:val="1"/>
          <w:numId w:val="10"/>
        </w:numPr>
      </w:pPr>
      <w:r w:rsidRPr="00DE6C03">
        <w:t>At least $52 million available</w:t>
      </w:r>
      <w:r>
        <w:t xml:space="preserve"> nationally</w:t>
      </w:r>
    </w:p>
    <w:p w14:paraId="78FB4CF7" w14:textId="29016DD0" w:rsidR="00A3611E" w:rsidRDefault="00A3611E" w:rsidP="00A3611E">
      <w:pPr>
        <w:pStyle w:val="ListParagraph"/>
        <w:numPr>
          <w:ilvl w:val="1"/>
          <w:numId w:val="10"/>
        </w:numPr>
      </w:pPr>
      <w:r w:rsidRPr="00DE6C03">
        <w:t>Minimum application amount = $50,000</w:t>
      </w:r>
      <w:r>
        <w:t>; maximum = $5 million</w:t>
      </w:r>
    </w:p>
    <w:p w14:paraId="1F573BC3" w14:textId="2A8F8815" w:rsidR="005A6E27" w:rsidRPr="00B61E06" w:rsidRDefault="005A6E27" w:rsidP="005A6E27">
      <w:pPr>
        <w:pStyle w:val="ListParagraph"/>
        <w:numPr>
          <w:ilvl w:val="1"/>
          <w:numId w:val="10"/>
        </w:numPr>
      </w:pPr>
      <w:r w:rsidRPr="00B61E06">
        <w:t>DV Bonus projects must be ranked</w:t>
      </w:r>
      <w:r w:rsidR="001F7DC3">
        <w:t xml:space="preserve"> in either Tier 1 or Tier 2;</w:t>
      </w:r>
      <w:r w:rsidR="00285FD3">
        <w:t xml:space="preserve"> however</w:t>
      </w:r>
      <w:r w:rsidR="001F7DC3">
        <w:t>,</w:t>
      </w:r>
      <w:r w:rsidR="00285FD3">
        <w:t xml:space="preserve"> if HUD selects a </w:t>
      </w:r>
      <w:r w:rsidRPr="00B61E06">
        <w:t xml:space="preserve">DV Bonus </w:t>
      </w:r>
      <w:r w:rsidR="00285FD3">
        <w:t xml:space="preserve">project during the initial DV Bonus selection, it will be removed from ranking, and, </w:t>
      </w:r>
      <w:r w:rsidR="001F7DC3">
        <w:t>if it was ranked in Tier 2,</w:t>
      </w:r>
      <w:r w:rsidR="00285FD3">
        <w:t>it will</w:t>
      </w:r>
      <w:r w:rsidRPr="00B61E06">
        <w:t xml:space="preserve"> not </w:t>
      </w:r>
      <w:r w:rsidR="00285FD3">
        <w:t xml:space="preserve">be </w:t>
      </w:r>
      <w:r w:rsidRPr="00B61E06">
        <w:t xml:space="preserve">included in </w:t>
      </w:r>
      <w:r w:rsidR="001F7DC3">
        <w:t xml:space="preserve">the calculation of </w:t>
      </w:r>
      <w:r w:rsidRPr="00B61E06">
        <w:t>Tier 2 ranking points</w:t>
      </w:r>
      <w:r w:rsidR="001F7DC3">
        <w:t>.</w:t>
      </w:r>
    </w:p>
    <w:p w14:paraId="3E21F7D3" w14:textId="31261429" w:rsidR="006D0740" w:rsidRDefault="006D0740" w:rsidP="00025928">
      <w:pPr>
        <w:pStyle w:val="ListParagraph"/>
        <w:numPr>
          <w:ilvl w:val="0"/>
          <w:numId w:val="10"/>
        </w:numPr>
      </w:pPr>
      <w:r>
        <w:t>YHDP Funds @ approximately $147,000,000 for all YHDP renewal and replacement grants</w:t>
      </w:r>
    </w:p>
    <w:p w14:paraId="41E9E957" w14:textId="4B7E0F68" w:rsidR="006E34D2" w:rsidRPr="00B61E06" w:rsidRDefault="006E34D2" w:rsidP="00025928">
      <w:pPr>
        <w:pStyle w:val="ListParagraph"/>
        <w:numPr>
          <w:ilvl w:val="0"/>
          <w:numId w:val="10"/>
        </w:numPr>
      </w:pPr>
      <w:r w:rsidRPr="00B61E06">
        <w:t>Not ranked:</w:t>
      </w:r>
    </w:p>
    <w:p w14:paraId="115E3211" w14:textId="6BB5ECA6" w:rsidR="006E34D2" w:rsidRPr="00B61E06" w:rsidRDefault="006E34D2" w:rsidP="006E34D2">
      <w:pPr>
        <w:pStyle w:val="ListParagraph"/>
        <w:numPr>
          <w:ilvl w:val="1"/>
          <w:numId w:val="10"/>
        </w:numPr>
      </w:pPr>
      <w:r w:rsidRPr="00B61E06">
        <w:t xml:space="preserve">Planning @ 5% of </w:t>
      </w:r>
      <w:r w:rsidR="00E2379E" w:rsidRPr="00B61E06">
        <w:t>F</w:t>
      </w:r>
      <w:r w:rsidRPr="00B61E06">
        <w:t>PRN (</w:t>
      </w:r>
      <w:r w:rsidR="004D3551">
        <w:t>not to exceed</w:t>
      </w:r>
      <w:r w:rsidR="004D3551" w:rsidRPr="00B61E06">
        <w:t xml:space="preserve"> </w:t>
      </w:r>
      <w:r w:rsidRPr="00B61E06">
        <w:t>$1,500,000)</w:t>
      </w:r>
      <w:r w:rsidR="00E2379E" w:rsidRPr="00B61E06">
        <w:t xml:space="preserve"> – increase from 3% and $1.25 million cap</w:t>
      </w:r>
    </w:p>
    <w:p w14:paraId="25E69A48" w14:textId="3D449BD5" w:rsidR="006E34D2" w:rsidRPr="00B61E06" w:rsidRDefault="006E34D2" w:rsidP="006E34D2">
      <w:pPr>
        <w:pStyle w:val="ListParagraph"/>
        <w:numPr>
          <w:ilvl w:val="1"/>
          <w:numId w:val="10"/>
        </w:numPr>
      </w:pPr>
      <w:r w:rsidRPr="00B61E06">
        <w:t>Unified Funding Agency @ 3% of PPRN (</w:t>
      </w:r>
      <w:r w:rsidR="00127983">
        <w:t>not to exceed</w:t>
      </w:r>
      <w:r w:rsidRPr="00B61E06">
        <w:t xml:space="preserve"> $1,250,000) – only UFA CoCs may apply</w:t>
      </w:r>
    </w:p>
    <w:p w14:paraId="33B12F01" w14:textId="6EF9BBA1" w:rsidR="006E34D2" w:rsidRPr="00B61E06" w:rsidRDefault="006E34D2" w:rsidP="006E34D2">
      <w:pPr>
        <w:pStyle w:val="ListParagraph"/>
        <w:numPr>
          <w:ilvl w:val="1"/>
          <w:numId w:val="10"/>
        </w:numPr>
      </w:pPr>
      <w:r w:rsidRPr="00B61E06">
        <w:t>FY2017 (Round 2) or later YHDP Competition grants</w:t>
      </w:r>
    </w:p>
    <w:p w14:paraId="7C84994A" w14:textId="38118566" w:rsidR="006E34D2" w:rsidRPr="00B61E06" w:rsidRDefault="006E34D2" w:rsidP="006E34D2">
      <w:pPr>
        <w:pStyle w:val="ListParagraph"/>
        <w:numPr>
          <w:ilvl w:val="0"/>
          <w:numId w:val="10"/>
        </w:numPr>
      </w:pPr>
      <w:r w:rsidRPr="00B61E06">
        <w:t xml:space="preserve">Tier 2 funded as in years past: </w:t>
      </w:r>
    </w:p>
    <w:p w14:paraId="5026D838" w14:textId="45B309B8" w:rsidR="006E34D2" w:rsidRPr="00B61E06" w:rsidRDefault="006E34D2" w:rsidP="006E34D2">
      <w:pPr>
        <w:pStyle w:val="ListParagraph"/>
        <w:numPr>
          <w:ilvl w:val="1"/>
          <w:numId w:val="10"/>
        </w:numPr>
      </w:pPr>
      <w:r w:rsidRPr="00B61E06">
        <w:t>All projects individually scored and must score above funding threshold</w:t>
      </w:r>
    </w:p>
    <w:p w14:paraId="19D2B8B1" w14:textId="7A5D7B44" w:rsidR="006E34D2" w:rsidRPr="00B61E06" w:rsidRDefault="006E34D2" w:rsidP="006E34D2">
      <w:pPr>
        <w:pStyle w:val="ListParagraph"/>
        <w:numPr>
          <w:ilvl w:val="1"/>
          <w:numId w:val="10"/>
        </w:numPr>
      </w:pPr>
      <w:r w:rsidRPr="00B61E06">
        <w:t>100 Points possible</w:t>
      </w:r>
    </w:p>
    <w:p w14:paraId="3D5B76C6" w14:textId="46DD32B8" w:rsidR="006E34D2" w:rsidRPr="00B61E06" w:rsidRDefault="006E34D2" w:rsidP="006E34D2">
      <w:pPr>
        <w:pStyle w:val="ListParagraph"/>
        <w:numPr>
          <w:ilvl w:val="2"/>
          <w:numId w:val="10"/>
        </w:numPr>
      </w:pPr>
      <w:r w:rsidRPr="00B61E06">
        <w:t>50 points based on CoC score</w:t>
      </w:r>
    </w:p>
    <w:p w14:paraId="3B40490B" w14:textId="7EC9FF1B" w:rsidR="006E34D2" w:rsidRPr="00B61E06" w:rsidRDefault="006E34D2" w:rsidP="006E34D2">
      <w:pPr>
        <w:pStyle w:val="ListParagraph"/>
        <w:numPr>
          <w:ilvl w:val="2"/>
          <w:numId w:val="10"/>
        </w:numPr>
      </w:pPr>
      <w:r w:rsidRPr="00B61E06">
        <w:t>40 points based on where project is ranked and amount of funding</w:t>
      </w:r>
    </w:p>
    <w:p w14:paraId="64F18E48" w14:textId="31E260FC" w:rsidR="006E34D2" w:rsidRPr="00B61E06" w:rsidRDefault="006E34D2" w:rsidP="006E34D2">
      <w:pPr>
        <w:pStyle w:val="ListParagraph"/>
        <w:numPr>
          <w:ilvl w:val="2"/>
          <w:numId w:val="10"/>
        </w:numPr>
      </w:pPr>
      <w:r w:rsidRPr="00B61E06">
        <w:t>10 points based on commitment to Housing First</w:t>
      </w:r>
    </w:p>
    <w:p w14:paraId="1B05BEED" w14:textId="0045EF4F" w:rsidR="00691F15" w:rsidRDefault="00CA30A5" w:rsidP="00691F15">
      <w:pPr>
        <w:pStyle w:val="Heading3"/>
      </w:pPr>
      <w:r>
        <w:t xml:space="preserve">HUD’s </w:t>
      </w:r>
      <w:r w:rsidR="00691F15">
        <w:t>Strategic Goals</w:t>
      </w:r>
    </w:p>
    <w:p w14:paraId="241C9707" w14:textId="77777777" w:rsidR="00691F15" w:rsidRDefault="00691F15" w:rsidP="00691F15">
      <w:pPr>
        <w:pStyle w:val="ListParagraph"/>
        <w:numPr>
          <w:ilvl w:val="0"/>
          <w:numId w:val="14"/>
        </w:numPr>
      </w:pPr>
      <w:r>
        <w:t>Support Underserved Communities</w:t>
      </w:r>
    </w:p>
    <w:p w14:paraId="77DABE88" w14:textId="77777777" w:rsidR="00691F15" w:rsidRDefault="00691F15" w:rsidP="00691F15">
      <w:pPr>
        <w:pStyle w:val="ListParagraph"/>
        <w:numPr>
          <w:ilvl w:val="0"/>
          <w:numId w:val="14"/>
        </w:numPr>
      </w:pPr>
      <w:r>
        <w:lastRenderedPageBreak/>
        <w:t>Ensure Access to and Increase Production of Affordable Housing</w:t>
      </w:r>
    </w:p>
    <w:p w14:paraId="1DCC6331" w14:textId="77777777" w:rsidR="00691F15" w:rsidRDefault="00691F15" w:rsidP="00691F15">
      <w:pPr>
        <w:pStyle w:val="ListParagraph"/>
        <w:numPr>
          <w:ilvl w:val="0"/>
          <w:numId w:val="14"/>
        </w:numPr>
      </w:pPr>
      <w:r>
        <w:t>Promote Homeownership</w:t>
      </w:r>
    </w:p>
    <w:p w14:paraId="450604F9" w14:textId="77777777" w:rsidR="00691F15" w:rsidRPr="00221BBA" w:rsidRDefault="00691F15" w:rsidP="00691F15">
      <w:pPr>
        <w:pStyle w:val="ListParagraph"/>
        <w:numPr>
          <w:ilvl w:val="0"/>
          <w:numId w:val="14"/>
        </w:numPr>
      </w:pPr>
      <w:r>
        <w:t>Advance Sustainable Communities: strengthen climate resilience and energy efficiency promoting environmental justice and recognizing essential role of housing for health</w:t>
      </w:r>
    </w:p>
    <w:p w14:paraId="49845570" w14:textId="6FBDA219" w:rsidR="00CB7E11" w:rsidRPr="00CB7E11" w:rsidRDefault="001B1C2F" w:rsidP="00D41769">
      <w:pPr>
        <w:pStyle w:val="Heading2"/>
      </w:pPr>
      <w:r>
        <w:t>HUD’s Homeless Policy Priorities</w:t>
      </w:r>
    </w:p>
    <w:p w14:paraId="0F1AA5B0" w14:textId="5D51D943" w:rsidR="00691F15" w:rsidRPr="003B0CF0" w:rsidRDefault="00691F15" w:rsidP="00090206">
      <w:pPr>
        <w:pStyle w:val="ListParagraph"/>
        <w:numPr>
          <w:ilvl w:val="0"/>
          <w:numId w:val="1"/>
        </w:numPr>
      </w:pPr>
      <w:r w:rsidRPr="003B0CF0">
        <w:t xml:space="preserve">Ending Homelessness for </w:t>
      </w:r>
      <w:r w:rsidR="001B1C2F">
        <w:t>a</w:t>
      </w:r>
      <w:r w:rsidR="00DE6C03" w:rsidRPr="003B0CF0">
        <w:t>ll</w:t>
      </w:r>
    </w:p>
    <w:p w14:paraId="11552F29" w14:textId="0C8170EB" w:rsidR="00090206" w:rsidRPr="003B0CF0" w:rsidRDefault="00090206" w:rsidP="00090206">
      <w:pPr>
        <w:pStyle w:val="ListParagraph"/>
        <w:numPr>
          <w:ilvl w:val="0"/>
          <w:numId w:val="1"/>
        </w:numPr>
      </w:pPr>
      <w:r w:rsidRPr="003B0CF0">
        <w:t>Housing First</w:t>
      </w:r>
    </w:p>
    <w:p w14:paraId="1ECC1C54" w14:textId="77777777" w:rsidR="00DE6C03" w:rsidRPr="003B0CF0" w:rsidRDefault="00DE6C03" w:rsidP="00DE6C03">
      <w:pPr>
        <w:pStyle w:val="ListParagraph"/>
        <w:numPr>
          <w:ilvl w:val="0"/>
          <w:numId w:val="1"/>
        </w:numPr>
      </w:pPr>
      <w:r w:rsidRPr="003B0CF0">
        <w:t>Reducing Unsheltered Homelessness</w:t>
      </w:r>
    </w:p>
    <w:p w14:paraId="3A649C35" w14:textId="12009B3C" w:rsidR="00CB7E11" w:rsidRPr="003B0CF0" w:rsidRDefault="00CB7E11" w:rsidP="00090206">
      <w:pPr>
        <w:pStyle w:val="ListParagraph"/>
        <w:numPr>
          <w:ilvl w:val="0"/>
          <w:numId w:val="1"/>
        </w:numPr>
      </w:pPr>
      <w:r w:rsidRPr="003B0CF0">
        <w:t>Improve System Performance</w:t>
      </w:r>
      <w:r w:rsidR="00D41769" w:rsidRPr="003B0CF0">
        <w:t>: additional emphasis on using System Performance Measures in review, ranking and selection process</w:t>
      </w:r>
    </w:p>
    <w:p w14:paraId="20370EEB" w14:textId="281695D3" w:rsidR="00691F15" w:rsidRPr="003B0CF0" w:rsidRDefault="00691F15" w:rsidP="00090206">
      <w:pPr>
        <w:pStyle w:val="ListParagraph"/>
        <w:numPr>
          <w:ilvl w:val="0"/>
          <w:numId w:val="1"/>
        </w:numPr>
      </w:pPr>
      <w:r w:rsidRPr="003B0CF0">
        <w:t xml:space="preserve">Coordination with Housing, </w:t>
      </w:r>
      <w:r w:rsidR="00FA0C63" w:rsidRPr="003B0CF0">
        <w:t>Health,</w:t>
      </w:r>
      <w:r w:rsidRPr="003B0CF0">
        <w:t xml:space="preserve"> and Service Agencies</w:t>
      </w:r>
    </w:p>
    <w:p w14:paraId="56E4F368" w14:textId="5C39CBDD" w:rsidR="00E1204E" w:rsidRPr="003B0CF0" w:rsidRDefault="00E1204E" w:rsidP="00E1204E">
      <w:pPr>
        <w:pStyle w:val="ListParagraph"/>
        <w:numPr>
          <w:ilvl w:val="0"/>
          <w:numId w:val="1"/>
        </w:numPr>
      </w:pPr>
      <w:r w:rsidRPr="003B0CF0">
        <w:t>Racial Equity</w:t>
      </w:r>
    </w:p>
    <w:p w14:paraId="3C2D7F6A" w14:textId="77777777" w:rsidR="00E1204E" w:rsidRPr="003B0CF0" w:rsidRDefault="00E1204E" w:rsidP="00E1204E">
      <w:pPr>
        <w:pStyle w:val="ListParagraph"/>
        <w:numPr>
          <w:ilvl w:val="0"/>
          <w:numId w:val="1"/>
        </w:numPr>
      </w:pPr>
      <w:r w:rsidRPr="003B0CF0">
        <w:t>LGBTQ+</w:t>
      </w:r>
    </w:p>
    <w:p w14:paraId="768F6F1B" w14:textId="2C5CAAFB" w:rsidR="00D41769" w:rsidRPr="003B0CF0" w:rsidRDefault="00D41769" w:rsidP="00D41769">
      <w:pPr>
        <w:pStyle w:val="ListParagraph"/>
        <w:numPr>
          <w:ilvl w:val="0"/>
          <w:numId w:val="1"/>
        </w:numPr>
      </w:pPr>
      <w:r w:rsidRPr="003B0CF0">
        <w:t xml:space="preserve">Persons with Lived Experience (PLE) </w:t>
      </w:r>
    </w:p>
    <w:p w14:paraId="0A44D4A3" w14:textId="325AD338" w:rsidR="002878F7" w:rsidRPr="002878F7" w:rsidRDefault="00DE6C03" w:rsidP="008105B3">
      <w:pPr>
        <w:pStyle w:val="ListParagraph"/>
        <w:numPr>
          <w:ilvl w:val="0"/>
          <w:numId w:val="1"/>
        </w:numPr>
      </w:pPr>
      <w:r>
        <w:t>Increasing Affordable Housing Supply</w:t>
      </w:r>
    </w:p>
    <w:p w14:paraId="318C05A2" w14:textId="6165D299" w:rsidR="00090206" w:rsidRPr="00090206" w:rsidRDefault="00090206" w:rsidP="008105B3">
      <w:pPr>
        <w:pStyle w:val="Heading2"/>
      </w:pPr>
      <w:r>
        <w:t>Local Competition Requirements</w:t>
      </w:r>
    </w:p>
    <w:p w14:paraId="63C0E194" w14:textId="4006BB3B" w:rsidR="00090206" w:rsidRPr="003B0CF0" w:rsidRDefault="00090206" w:rsidP="00090206">
      <w:pPr>
        <w:numPr>
          <w:ilvl w:val="0"/>
          <w:numId w:val="2"/>
        </w:numPr>
        <w:contextualSpacing/>
        <w:rPr>
          <w:kern w:val="0"/>
          <w14:ligatures w14:val="none"/>
        </w:rPr>
      </w:pPr>
      <w:r w:rsidRPr="00090206">
        <w:rPr>
          <w:kern w:val="0"/>
          <w14:ligatures w14:val="none"/>
        </w:rPr>
        <w:t>CoC must post notice of local competition process, due date for project applications, full CoC application</w:t>
      </w:r>
      <w:r w:rsidR="0020729F" w:rsidRPr="003B0CF0">
        <w:rPr>
          <w:kern w:val="0"/>
          <w14:ligatures w14:val="none"/>
        </w:rPr>
        <w:t xml:space="preserve"> along with CoC Priority Listing</w:t>
      </w:r>
      <w:r w:rsidRPr="00090206">
        <w:rPr>
          <w:kern w:val="0"/>
          <w14:ligatures w14:val="none"/>
        </w:rPr>
        <w:t xml:space="preserve"> </w:t>
      </w:r>
      <w:r w:rsidR="0020729F" w:rsidRPr="003B0CF0">
        <w:rPr>
          <w:kern w:val="0"/>
          <w14:ligatures w14:val="none"/>
        </w:rPr>
        <w:t>(indicating</w:t>
      </w:r>
      <w:r w:rsidRPr="00090206">
        <w:rPr>
          <w:kern w:val="0"/>
          <w14:ligatures w14:val="none"/>
        </w:rPr>
        <w:t xml:space="preserve"> accepted and rejected project applications</w:t>
      </w:r>
      <w:r w:rsidR="0020729F" w:rsidRPr="003B0CF0">
        <w:rPr>
          <w:kern w:val="0"/>
          <w14:ligatures w14:val="none"/>
        </w:rPr>
        <w:t>)</w:t>
      </w:r>
      <w:r w:rsidR="00161457" w:rsidRPr="003B0CF0">
        <w:rPr>
          <w:kern w:val="0"/>
          <w14:ligatures w14:val="none"/>
        </w:rPr>
        <w:t xml:space="preserve"> </w:t>
      </w:r>
      <w:r w:rsidR="003C7B51">
        <w:rPr>
          <w:kern w:val="0"/>
          <w14:ligatures w14:val="none"/>
        </w:rPr>
        <w:t xml:space="preserve"> by 9/26/23, </w:t>
      </w:r>
      <w:r w:rsidR="00161457" w:rsidRPr="003B0CF0">
        <w:rPr>
          <w:kern w:val="0"/>
          <w14:ligatures w14:val="none"/>
        </w:rPr>
        <w:t>2 days prior to CoC NOFO due date.</w:t>
      </w:r>
    </w:p>
    <w:p w14:paraId="06E0E313" w14:textId="15FA4AF8" w:rsidR="00161457" w:rsidRPr="00090206" w:rsidRDefault="00161457" w:rsidP="00090206">
      <w:pPr>
        <w:numPr>
          <w:ilvl w:val="0"/>
          <w:numId w:val="2"/>
        </w:numPr>
        <w:contextualSpacing/>
        <w:rPr>
          <w:kern w:val="0"/>
          <w14:ligatures w14:val="none"/>
        </w:rPr>
      </w:pPr>
      <w:r w:rsidRPr="003B0CF0">
        <w:rPr>
          <w:kern w:val="0"/>
          <w14:ligatures w14:val="none"/>
        </w:rPr>
        <w:t xml:space="preserve">Deadline for projects </w:t>
      </w:r>
      <w:r w:rsidR="00144273">
        <w:rPr>
          <w:kern w:val="0"/>
          <w14:ligatures w14:val="none"/>
        </w:rPr>
        <w:t xml:space="preserve">to submit applications to the local CoC </w:t>
      </w:r>
      <w:r w:rsidRPr="003B0CF0">
        <w:rPr>
          <w:kern w:val="0"/>
          <w14:ligatures w14:val="none"/>
        </w:rPr>
        <w:t>must be no later than</w:t>
      </w:r>
      <w:r w:rsidR="0086234E">
        <w:rPr>
          <w:kern w:val="0"/>
          <w14:ligatures w14:val="none"/>
        </w:rPr>
        <w:t xml:space="preserve"> 8/29/23,</w:t>
      </w:r>
      <w:r w:rsidRPr="003B0CF0">
        <w:rPr>
          <w:kern w:val="0"/>
          <w14:ligatures w14:val="none"/>
        </w:rPr>
        <w:t xml:space="preserve"> 30 days before CoC NOFO due date.</w:t>
      </w:r>
    </w:p>
    <w:p w14:paraId="45AE0F5B" w14:textId="468D41E9" w:rsidR="00090206" w:rsidRPr="00090206" w:rsidRDefault="00144273" w:rsidP="00090206">
      <w:pPr>
        <w:numPr>
          <w:ilvl w:val="0"/>
          <w:numId w:val="2"/>
        </w:numPr>
        <w:contextualSpacing/>
        <w:rPr>
          <w:kern w:val="0"/>
          <w14:ligatures w14:val="none"/>
        </w:rPr>
      </w:pPr>
      <w:r>
        <w:rPr>
          <w:kern w:val="0"/>
          <w14:ligatures w14:val="none"/>
        </w:rPr>
        <w:t>CoC must</w:t>
      </w:r>
      <w:r w:rsidRPr="00090206">
        <w:rPr>
          <w:kern w:val="0"/>
          <w14:ligatures w14:val="none"/>
        </w:rPr>
        <w:t xml:space="preserve"> </w:t>
      </w:r>
      <w:r w:rsidR="00090206" w:rsidRPr="00090206">
        <w:rPr>
          <w:kern w:val="0"/>
          <w14:ligatures w14:val="none"/>
        </w:rPr>
        <w:t xml:space="preserve">notify applicants </w:t>
      </w:r>
      <w:r w:rsidR="006A2DBA" w:rsidRPr="003B0CF0">
        <w:rPr>
          <w:kern w:val="0"/>
          <w14:ligatures w14:val="none"/>
        </w:rPr>
        <w:t>of acceptance or rejection/reduction</w:t>
      </w:r>
      <w:r>
        <w:rPr>
          <w:kern w:val="0"/>
          <w14:ligatures w14:val="none"/>
        </w:rPr>
        <w:t>, and reason for rejection/reduction</w:t>
      </w:r>
      <w:r w:rsidR="006A2DBA" w:rsidRPr="003B0CF0">
        <w:rPr>
          <w:kern w:val="0"/>
          <w14:ligatures w14:val="none"/>
        </w:rPr>
        <w:t xml:space="preserve"> </w:t>
      </w:r>
      <w:r w:rsidR="00090206" w:rsidRPr="00090206">
        <w:rPr>
          <w:kern w:val="0"/>
          <w14:ligatures w14:val="none"/>
        </w:rPr>
        <w:t xml:space="preserve">in writing outside of ESNAPS </w:t>
      </w:r>
      <w:r w:rsidR="0086234E">
        <w:rPr>
          <w:kern w:val="0"/>
          <w14:ligatures w14:val="none"/>
        </w:rPr>
        <w:t xml:space="preserve">by 9/13/23, </w:t>
      </w:r>
      <w:r w:rsidR="00090206" w:rsidRPr="00090206">
        <w:rPr>
          <w:kern w:val="0"/>
          <w14:ligatures w14:val="none"/>
        </w:rPr>
        <w:t xml:space="preserve">15 days </w:t>
      </w:r>
      <w:r w:rsidR="0086234E">
        <w:rPr>
          <w:kern w:val="0"/>
          <w14:ligatures w14:val="none"/>
        </w:rPr>
        <w:t xml:space="preserve">prior to the </w:t>
      </w:r>
      <w:r w:rsidR="004C441A">
        <w:rPr>
          <w:kern w:val="0"/>
          <w14:ligatures w14:val="none"/>
        </w:rPr>
        <w:t>CoC NOFO due date</w:t>
      </w:r>
      <w:r w:rsidR="003751DD">
        <w:rPr>
          <w:kern w:val="0"/>
          <w14:ligatures w14:val="none"/>
        </w:rPr>
        <w:t>.</w:t>
      </w:r>
    </w:p>
    <w:p w14:paraId="43C5F762" w14:textId="547969ED" w:rsidR="003C7B51" w:rsidRDefault="003C7B51" w:rsidP="00090206">
      <w:pPr>
        <w:pStyle w:val="Heading2"/>
      </w:pPr>
      <w:r>
        <w:t>CoC Bonus</w:t>
      </w:r>
    </w:p>
    <w:p w14:paraId="65BD5D9B" w14:textId="07BBB009" w:rsidR="00D92C81" w:rsidRDefault="00D92C81" w:rsidP="00D92C81">
      <w:pPr>
        <w:pStyle w:val="ListParagraph"/>
        <w:numPr>
          <w:ilvl w:val="0"/>
          <w:numId w:val="18"/>
        </w:numPr>
      </w:pPr>
      <w:r>
        <w:t>7% of FPRN</w:t>
      </w:r>
    </w:p>
    <w:p w14:paraId="0110688A" w14:textId="321A63F0" w:rsidR="00144273" w:rsidRPr="00144273" w:rsidRDefault="00D92C81" w:rsidP="00144273">
      <w:pPr>
        <w:pStyle w:val="ListParagraph"/>
        <w:numPr>
          <w:ilvl w:val="0"/>
          <w:numId w:val="18"/>
        </w:numPr>
      </w:pPr>
      <w:r>
        <w:t>Allowable project types</w:t>
      </w:r>
      <w:r w:rsidR="00582427">
        <w:t xml:space="preserve"> – </w:t>
      </w:r>
      <w:r w:rsidR="00A13424">
        <w:t>PSH, RRH, Joint TH/RRH, HMIS, SSO-CE</w:t>
      </w:r>
    </w:p>
    <w:p w14:paraId="19A47B1A" w14:textId="41D281AF" w:rsidR="00090206" w:rsidRDefault="00090206" w:rsidP="00090206">
      <w:pPr>
        <w:pStyle w:val="Heading2"/>
      </w:pPr>
      <w:r>
        <w:t>DV Bonus</w:t>
      </w:r>
    </w:p>
    <w:p w14:paraId="75CA9EB2" w14:textId="036039C7" w:rsidR="007B2F9C" w:rsidRDefault="007B2F9C" w:rsidP="00090206">
      <w:pPr>
        <w:pStyle w:val="ListParagraph"/>
        <w:numPr>
          <w:ilvl w:val="0"/>
          <w:numId w:val="3"/>
        </w:numPr>
      </w:pPr>
      <w:bookmarkStart w:id="0" w:name="_Hlk140045166"/>
      <w:r w:rsidRPr="00DE6C03">
        <w:t>At least $52 million available</w:t>
      </w:r>
      <w:r w:rsidR="00E20AE9">
        <w:t xml:space="preserve"> nationally</w:t>
      </w:r>
    </w:p>
    <w:p w14:paraId="1CDDD2CA" w14:textId="77777777" w:rsidR="00144273" w:rsidRDefault="00144273" w:rsidP="00144273">
      <w:pPr>
        <w:pStyle w:val="ListParagraph"/>
        <w:numPr>
          <w:ilvl w:val="0"/>
          <w:numId w:val="3"/>
        </w:numPr>
      </w:pPr>
      <w:r>
        <w:t>Must</w:t>
      </w:r>
      <w:r w:rsidRPr="00DE6C03">
        <w:t xml:space="preserve"> serve </w:t>
      </w:r>
      <w:r>
        <w:t xml:space="preserve">only </w:t>
      </w:r>
      <w:r w:rsidRPr="00DE6C03">
        <w:t>those fleeing</w:t>
      </w:r>
      <w:r>
        <w:t xml:space="preserve"> or attempting to flee</w:t>
      </w:r>
      <w:r w:rsidRPr="00DE6C03">
        <w:t xml:space="preserve"> DV </w:t>
      </w:r>
      <w:r>
        <w:t xml:space="preserve">who meet </w:t>
      </w:r>
      <w:r w:rsidRPr="00DE6C03">
        <w:t>Category 4</w:t>
      </w:r>
      <w:r>
        <w:t xml:space="preserve"> or 1 of HUD’s </w:t>
      </w:r>
      <w:r w:rsidRPr="00DE6C03">
        <w:t>homeless</w:t>
      </w:r>
      <w:r>
        <w:t xml:space="preserve"> definition</w:t>
      </w:r>
      <w:r>
        <w:rPr>
          <w:rStyle w:val="FootnoteReference"/>
        </w:rPr>
        <w:footnoteReference w:id="5"/>
      </w:r>
      <w:r>
        <w:t xml:space="preserve"> </w:t>
      </w:r>
      <w:r w:rsidRPr="00DE6C03">
        <w:t xml:space="preserve"> </w:t>
      </w:r>
    </w:p>
    <w:p w14:paraId="426143B7" w14:textId="609C261F" w:rsidR="00144273" w:rsidRPr="00DE6C03" w:rsidRDefault="00144273" w:rsidP="00144273">
      <w:pPr>
        <w:pStyle w:val="ListParagraph"/>
        <w:numPr>
          <w:ilvl w:val="0"/>
          <w:numId w:val="3"/>
        </w:numPr>
      </w:pPr>
      <w:r>
        <w:t>M</w:t>
      </w:r>
      <w:r w:rsidRPr="00DE6C03">
        <w:t>ust use Housing First</w:t>
      </w:r>
    </w:p>
    <w:bookmarkEnd w:id="0"/>
    <w:p w14:paraId="3D083FCD" w14:textId="08FE3C96" w:rsidR="00090206" w:rsidRPr="00DE6C03" w:rsidRDefault="00090206" w:rsidP="00090206">
      <w:pPr>
        <w:pStyle w:val="ListParagraph"/>
        <w:numPr>
          <w:ilvl w:val="0"/>
          <w:numId w:val="3"/>
        </w:numPr>
      </w:pPr>
      <w:r w:rsidRPr="00DE6C03">
        <w:t xml:space="preserve">Allowable project types </w:t>
      </w:r>
    </w:p>
    <w:p w14:paraId="405026FE" w14:textId="653CDEE3" w:rsidR="00090206" w:rsidRPr="00DE6C03" w:rsidRDefault="00090206" w:rsidP="00090206">
      <w:pPr>
        <w:pStyle w:val="ListParagraph"/>
        <w:numPr>
          <w:ilvl w:val="1"/>
          <w:numId w:val="3"/>
        </w:numPr>
      </w:pPr>
      <w:r w:rsidRPr="00DE6C03">
        <w:t>RRH</w:t>
      </w:r>
      <w:r w:rsidR="004C441A">
        <w:t xml:space="preserve">, </w:t>
      </w:r>
      <w:r w:rsidRPr="00DE6C03">
        <w:t>Joint TH/RRH</w:t>
      </w:r>
      <w:r w:rsidR="004C441A">
        <w:t xml:space="preserve">, and </w:t>
      </w:r>
      <w:r w:rsidRPr="00DE6C03">
        <w:t>CE-SSO – for DV only</w:t>
      </w:r>
    </w:p>
    <w:p w14:paraId="3B1E60C6" w14:textId="25EEC427" w:rsidR="00090206" w:rsidRPr="00DE6C03" w:rsidRDefault="00090206" w:rsidP="00090206">
      <w:pPr>
        <w:pStyle w:val="ListParagraph"/>
        <w:numPr>
          <w:ilvl w:val="0"/>
          <w:numId w:val="3"/>
        </w:numPr>
      </w:pPr>
      <w:r w:rsidRPr="00DE6C03">
        <w:t>Scoring of DV Bonus (non-CE SSO):</w:t>
      </w:r>
    </w:p>
    <w:p w14:paraId="7E031F59" w14:textId="1391D1B2" w:rsidR="00090206" w:rsidRPr="00DE6C03" w:rsidRDefault="00090206" w:rsidP="00090206">
      <w:pPr>
        <w:pStyle w:val="ListParagraph"/>
        <w:numPr>
          <w:ilvl w:val="1"/>
          <w:numId w:val="3"/>
        </w:numPr>
      </w:pPr>
      <w:r w:rsidRPr="00DE6C03">
        <w:t>CoC score: 50 points</w:t>
      </w:r>
    </w:p>
    <w:p w14:paraId="5679C9EB" w14:textId="13C9E300" w:rsidR="00114C6E" w:rsidRPr="00DE6C03" w:rsidRDefault="00114C6E" w:rsidP="00090206">
      <w:pPr>
        <w:pStyle w:val="ListParagraph"/>
        <w:numPr>
          <w:ilvl w:val="1"/>
          <w:numId w:val="3"/>
        </w:numPr>
      </w:pPr>
      <w:r w:rsidRPr="00DE6C03">
        <w:t>CoC collaboration with Victim Service Providers: 10 points</w:t>
      </w:r>
    </w:p>
    <w:p w14:paraId="4638FAEE" w14:textId="7C692412" w:rsidR="00090206" w:rsidRPr="00DE6C03" w:rsidRDefault="00090206" w:rsidP="00090206">
      <w:pPr>
        <w:pStyle w:val="ListParagraph"/>
        <w:numPr>
          <w:ilvl w:val="1"/>
          <w:numId w:val="3"/>
        </w:numPr>
      </w:pPr>
      <w:r w:rsidRPr="00DE6C03">
        <w:lastRenderedPageBreak/>
        <w:t xml:space="preserve">Need for project (demonstrated in CoC application): </w:t>
      </w:r>
      <w:r w:rsidR="00114C6E" w:rsidRPr="00DE6C03">
        <w:t>10</w:t>
      </w:r>
      <w:r w:rsidRPr="00DE6C03">
        <w:t xml:space="preserve"> points</w:t>
      </w:r>
    </w:p>
    <w:p w14:paraId="574EFDAE" w14:textId="7019655E" w:rsidR="00090206" w:rsidRPr="00DE6C03" w:rsidRDefault="00090206" w:rsidP="00090206">
      <w:pPr>
        <w:pStyle w:val="ListParagraph"/>
        <w:numPr>
          <w:ilvl w:val="1"/>
          <w:numId w:val="3"/>
        </w:numPr>
      </w:pPr>
      <w:r w:rsidRPr="00DE6C03">
        <w:t xml:space="preserve">Quality of project applicant (prior performance of applicant): </w:t>
      </w:r>
      <w:r w:rsidR="00114C6E" w:rsidRPr="00DE6C03">
        <w:t>1</w:t>
      </w:r>
      <w:r w:rsidRPr="00DE6C03">
        <w:t>5 points</w:t>
      </w:r>
    </w:p>
    <w:p w14:paraId="1809F59F" w14:textId="5B07434C" w:rsidR="00114C6E" w:rsidRPr="00DE6C03" w:rsidRDefault="00114C6E" w:rsidP="00090206">
      <w:pPr>
        <w:pStyle w:val="ListParagraph"/>
        <w:numPr>
          <w:ilvl w:val="1"/>
          <w:numId w:val="3"/>
        </w:numPr>
      </w:pPr>
      <w:r w:rsidRPr="00DE6C03">
        <w:t>Demonstration of inclusion of victim-centered practices: 8 points</w:t>
      </w:r>
    </w:p>
    <w:p w14:paraId="6074F6CE" w14:textId="4E1AC26A" w:rsidR="00114C6E" w:rsidRPr="00DE6C03" w:rsidRDefault="00114C6E" w:rsidP="00090206">
      <w:pPr>
        <w:pStyle w:val="ListParagraph"/>
        <w:numPr>
          <w:ilvl w:val="1"/>
          <w:numId w:val="3"/>
        </w:numPr>
      </w:pPr>
      <w:r w:rsidRPr="00DE6C03">
        <w:t>Demonstration of plan to include survivors with lived expertise: 7 points</w:t>
      </w:r>
    </w:p>
    <w:p w14:paraId="51ABB69E" w14:textId="78E89DC7" w:rsidR="00090206" w:rsidRPr="00DE6C03" w:rsidRDefault="00090206" w:rsidP="00090206">
      <w:pPr>
        <w:pStyle w:val="ListParagraph"/>
        <w:numPr>
          <w:ilvl w:val="0"/>
          <w:numId w:val="3"/>
        </w:numPr>
      </w:pPr>
      <w:r w:rsidRPr="00DE6C03">
        <w:t xml:space="preserve">CE SSO Scoring: </w:t>
      </w:r>
    </w:p>
    <w:p w14:paraId="1EF110B8" w14:textId="42954B23" w:rsidR="00090206" w:rsidRPr="00DE6C03" w:rsidRDefault="00090206" w:rsidP="00090206">
      <w:pPr>
        <w:pStyle w:val="ListParagraph"/>
        <w:numPr>
          <w:ilvl w:val="1"/>
          <w:numId w:val="3"/>
        </w:numPr>
      </w:pPr>
      <w:r w:rsidRPr="00DE6C03">
        <w:t>CoC score: 50 points</w:t>
      </w:r>
    </w:p>
    <w:p w14:paraId="1404FC0E" w14:textId="5857ED1B" w:rsidR="00114C6E" w:rsidRPr="00DE6C03" w:rsidRDefault="00114C6E" w:rsidP="00090206">
      <w:pPr>
        <w:pStyle w:val="ListParagraph"/>
        <w:numPr>
          <w:ilvl w:val="1"/>
          <w:numId w:val="3"/>
        </w:numPr>
      </w:pPr>
      <w:r w:rsidRPr="00DE6C03">
        <w:t>CoC collaboration with Victim Service Providers: 10 points</w:t>
      </w:r>
    </w:p>
    <w:p w14:paraId="11E1F688" w14:textId="33020E37" w:rsidR="00090206" w:rsidRPr="00DE6C03" w:rsidRDefault="00090206" w:rsidP="00090206">
      <w:pPr>
        <w:pStyle w:val="ListParagraph"/>
        <w:numPr>
          <w:ilvl w:val="1"/>
          <w:numId w:val="3"/>
        </w:numPr>
      </w:pPr>
      <w:r w:rsidRPr="00DE6C03">
        <w:t xml:space="preserve">Need for project: </w:t>
      </w:r>
      <w:r w:rsidR="00114C6E" w:rsidRPr="00DE6C03">
        <w:t>25</w:t>
      </w:r>
      <w:r w:rsidRPr="00DE6C03">
        <w:t xml:space="preserve"> points</w:t>
      </w:r>
    </w:p>
    <w:p w14:paraId="0B7161AE" w14:textId="2156827C" w:rsidR="00114C6E" w:rsidRPr="00DE6C03" w:rsidRDefault="00114C6E" w:rsidP="00090206">
      <w:pPr>
        <w:pStyle w:val="ListParagraph"/>
        <w:numPr>
          <w:ilvl w:val="1"/>
          <w:numId w:val="3"/>
        </w:numPr>
      </w:pPr>
      <w:r w:rsidRPr="00DE6C03">
        <w:t>Demonstration of plan to include survivors with lived expertise: 15 points</w:t>
      </w:r>
    </w:p>
    <w:p w14:paraId="1C0917EA" w14:textId="572EB968" w:rsidR="00090206" w:rsidRPr="00DE6C03" w:rsidRDefault="00090206" w:rsidP="00090206">
      <w:pPr>
        <w:pStyle w:val="ListParagraph"/>
        <w:numPr>
          <w:ilvl w:val="0"/>
          <w:numId w:val="3"/>
        </w:numPr>
      </w:pPr>
      <w:r w:rsidRPr="00DE6C03">
        <w:t xml:space="preserve">Can apply for multiple RRH or joint TH/RRH, but only 1 CE-SSO </w:t>
      </w:r>
    </w:p>
    <w:p w14:paraId="3CA27A91" w14:textId="2B85232B" w:rsidR="00090206" w:rsidRDefault="00090206" w:rsidP="00090206">
      <w:pPr>
        <w:pStyle w:val="ListParagraph"/>
        <w:numPr>
          <w:ilvl w:val="0"/>
          <w:numId w:val="3"/>
        </w:numPr>
      </w:pPr>
      <w:r w:rsidRPr="00DE6C03">
        <w:t>Existing DV Bonus projects can be expanded</w:t>
      </w:r>
    </w:p>
    <w:p w14:paraId="62BFE6E6" w14:textId="6A499AB5" w:rsidR="00E77B2C" w:rsidRPr="00DE6C03" w:rsidRDefault="00E77B2C" w:rsidP="00090206">
      <w:pPr>
        <w:pStyle w:val="ListParagraph"/>
        <w:numPr>
          <w:ilvl w:val="0"/>
          <w:numId w:val="3"/>
        </w:numPr>
      </w:pPr>
      <w:r>
        <w:t>DV Bonus funds may be used to expand an existing project not funded with DV Bonus funds provided that only DV survivors are served by the project expansion</w:t>
      </w:r>
    </w:p>
    <w:p w14:paraId="5C837583" w14:textId="3055F668" w:rsidR="00090206" w:rsidRDefault="00090206" w:rsidP="00090206">
      <w:pPr>
        <w:pStyle w:val="Heading2"/>
      </w:pPr>
      <w:r>
        <w:t>Project Applications</w:t>
      </w:r>
    </w:p>
    <w:p w14:paraId="7C4151B2" w14:textId="61213EE1" w:rsidR="00446060" w:rsidRDefault="00446060" w:rsidP="009418F8">
      <w:pPr>
        <w:pStyle w:val="Heading3"/>
      </w:pPr>
      <w:r>
        <w:t>New and Renewals</w:t>
      </w:r>
    </w:p>
    <w:p w14:paraId="2F7F2F06" w14:textId="1C66F94C" w:rsidR="005446EC" w:rsidRDefault="00446060" w:rsidP="008105B3">
      <w:pPr>
        <w:pStyle w:val="ListParagraph"/>
        <w:numPr>
          <w:ilvl w:val="0"/>
          <w:numId w:val="4"/>
        </w:numPr>
      </w:pPr>
      <w:r>
        <w:t xml:space="preserve">HUD will consider extent to which </w:t>
      </w:r>
      <w:r w:rsidR="00144273">
        <w:t xml:space="preserve">applicants </w:t>
      </w:r>
      <w:r>
        <w:t>demonstrate that they have the experience and resources to effectively address the needs of underserved communities, particularly Black, Indigenous, and other people of color</w:t>
      </w:r>
    </w:p>
    <w:p w14:paraId="2E605DEB" w14:textId="7E5197D8" w:rsidR="00CA30A5" w:rsidRDefault="00CA30A5" w:rsidP="00CA30A5">
      <w:pPr>
        <w:pStyle w:val="ListParagraph"/>
        <w:numPr>
          <w:ilvl w:val="0"/>
          <w:numId w:val="4"/>
        </w:numPr>
      </w:pPr>
      <w:r>
        <w:t>Projects must be aligned with the relevant strategic goals listed above. Project applicants must describe specific goals, objectives and measures that project is expected to accomplish. Recipients will be expected to establish plan to track progress, and HUD will monitor compliance on same.</w:t>
      </w:r>
    </w:p>
    <w:p w14:paraId="40A8CFE4" w14:textId="637B9D9C" w:rsidR="005446EC" w:rsidRPr="00DE6C03" w:rsidRDefault="005446EC" w:rsidP="008105B3">
      <w:pPr>
        <w:pStyle w:val="ListParagraph"/>
        <w:numPr>
          <w:ilvl w:val="0"/>
          <w:numId w:val="4"/>
        </w:numPr>
      </w:pPr>
      <w:r w:rsidRPr="00DE6C03">
        <w:t>New eligible CoC Activities:</w:t>
      </w:r>
    </w:p>
    <w:p w14:paraId="273C3366" w14:textId="77777777" w:rsidR="005446EC" w:rsidRPr="00DE6C03" w:rsidRDefault="005446EC" w:rsidP="008105B3">
      <w:pPr>
        <w:pStyle w:val="ListParagraph"/>
        <w:numPr>
          <w:ilvl w:val="1"/>
          <w:numId w:val="4"/>
        </w:numPr>
      </w:pPr>
      <w:r w:rsidRPr="00DE6C03">
        <w:t>VAWA Costs: Facilitating and coordinating activities to ensure compliance with the emergency transfer plan requirement and monitoring compliance with confidentiality protections</w:t>
      </w:r>
    </w:p>
    <w:p w14:paraId="4B8C942A" w14:textId="77777777" w:rsidR="005446EC" w:rsidRDefault="005446EC" w:rsidP="008105B3">
      <w:pPr>
        <w:pStyle w:val="ListParagraph"/>
        <w:numPr>
          <w:ilvl w:val="1"/>
          <w:numId w:val="4"/>
        </w:numPr>
      </w:pPr>
      <w:r w:rsidRPr="00DE6C03">
        <w:t>Rural Costs: activities that address barriers to transitioning families in rural areas to permanent housing and activities to increase capacity to address unique housing challenges in rural areas</w:t>
      </w:r>
    </w:p>
    <w:p w14:paraId="0AAB680E" w14:textId="46C91B19" w:rsidR="00E77B2C" w:rsidRDefault="00E77B2C" w:rsidP="00E77B2C">
      <w:pPr>
        <w:pStyle w:val="ListParagraph"/>
        <w:numPr>
          <w:ilvl w:val="2"/>
          <w:numId w:val="4"/>
        </w:numPr>
      </w:pPr>
      <w:r>
        <w:t>Allowable rural cost include:</w:t>
      </w:r>
    </w:p>
    <w:p w14:paraId="09C86AF8" w14:textId="481C84CF" w:rsidR="00E77B2C" w:rsidRDefault="00E77B2C" w:rsidP="00E77B2C">
      <w:pPr>
        <w:pStyle w:val="ListParagraph"/>
        <w:numPr>
          <w:ilvl w:val="3"/>
          <w:numId w:val="4"/>
        </w:numPr>
      </w:pPr>
      <w:r>
        <w:t>Short term emergency lodging including motels and shelters, directly or through vouchers</w:t>
      </w:r>
    </w:p>
    <w:p w14:paraId="3A254F32" w14:textId="2DD15E05" w:rsidR="00E77B2C" w:rsidRDefault="00E77B2C" w:rsidP="00E77B2C">
      <w:pPr>
        <w:pStyle w:val="ListParagraph"/>
        <w:numPr>
          <w:ilvl w:val="3"/>
          <w:numId w:val="4"/>
        </w:numPr>
      </w:pPr>
      <w:r>
        <w:t>Repairs to units where homeless individuals and families will be housed</w:t>
      </w:r>
    </w:p>
    <w:p w14:paraId="03DA79F6" w14:textId="6C0F7321" w:rsidR="00E77B2C" w:rsidRPr="00DE6C03" w:rsidRDefault="00E77B2C" w:rsidP="0069445C">
      <w:pPr>
        <w:pStyle w:val="ListParagraph"/>
        <w:numPr>
          <w:ilvl w:val="3"/>
          <w:numId w:val="4"/>
        </w:numPr>
      </w:pPr>
      <w:r>
        <w:t>Staff training, professional development, skill development, and staff retention activities</w:t>
      </w:r>
    </w:p>
    <w:p w14:paraId="6B1CED5E" w14:textId="77777777" w:rsidR="005446EC" w:rsidRDefault="005446EC" w:rsidP="005446EC">
      <w:pPr>
        <w:pStyle w:val="ListParagraph"/>
        <w:numPr>
          <w:ilvl w:val="2"/>
          <w:numId w:val="4"/>
        </w:numPr>
      </w:pPr>
      <w:r w:rsidRPr="00DE6C03">
        <w:t>HUD will publish list of CoCs located in rural areas as defined in NOFO</w:t>
      </w:r>
    </w:p>
    <w:p w14:paraId="1804AED4" w14:textId="257E0BF7" w:rsidR="00090206" w:rsidRDefault="00090206" w:rsidP="00090206">
      <w:pPr>
        <w:pStyle w:val="Heading3"/>
      </w:pPr>
      <w:r>
        <w:t>Renewals</w:t>
      </w:r>
    </w:p>
    <w:p w14:paraId="122FCC3D" w14:textId="185A507A" w:rsidR="00090206" w:rsidRPr="00DE6C03" w:rsidRDefault="00144273" w:rsidP="00090206">
      <w:pPr>
        <w:pStyle w:val="ListParagraph"/>
        <w:numPr>
          <w:ilvl w:val="0"/>
          <w:numId w:val="4"/>
        </w:numPr>
      </w:pPr>
      <w:r>
        <w:t>To be eligible to renew m</w:t>
      </w:r>
      <w:r w:rsidR="00090206" w:rsidRPr="00DE6C03">
        <w:t>ust expire in Calendar Year 2024</w:t>
      </w:r>
      <w:r>
        <w:t xml:space="preserve">. </w:t>
      </w:r>
    </w:p>
    <w:p w14:paraId="10600270" w14:textId="6DFDFB43" w:rsidR="00090206" w:rsidRPr="00DE6C03" w:rsidRDefault="00090206" w:rsidP="00090206">
      <w:pPr>
        <w:pStyle w:val="ListParagraph"/>
        <w:numPr>
          <w:ilvl w:val="0"/>
          <w:numId w:val="4"/>
        </w:numPr>
      </w:pPr>
      <w:r w:rsidRPr="00DE6C03">
        <w:t>Project consolidations can include 2 to 10 renewal projects</w:t>
      </w:r>
      <w:r w:rsidR="00144273">
        <w:t>.</w:t>
      </w:r>
    </w:p>
    <w:p w14:paraId="3AD68B9A" w14:textId="77777777" w:rsidR="00160433" w:rsidRPr="00DE6C03" w:rsidRDefault="00160433" w:rsidP="00160433">
      <w:pPr>
        <w:pStyle w:val="ListParagraph"/>
        <w:numPr>
          <w:ilvl w:val="0"/>
          <w:numId w:val="4"/>
        </w:numPr>
      </w:pPr>
      <w:r w:rsidRPr="00DE6C03">
        <w:t xml:space="preserve">PSH renewals must serve: Chronic homeless, DedicatedPlus or persons specified in current grant agreement. </w:t>
      </w:r>
    </w:p>
    <w:p w14:paraId="53B67759" w14:textId="5BCE13E3" w:rsidR="00160433" w:rsidRPr="00DE6C03" w:rsidRDefault="00160433" w:rsidP="00160433">
      <w:pPr>
        <w:pStyle w:val="ListParagraph"/>
        <w:numPr>
          <w:ilvl w:val="0"/>
          <w:numId w:val="4"/>
        </w:numPr>
      </w:pPr>
      <w:r w:rsidRPr="00DE6C03">
        <w:lastRenderedPageBreak/>
        <w:t>RRH, Joint TH/RRH may serve homeless categories 1, 2, and 4</w:t>
      </w:r>
      <w:r w:rsidR="002371E6">
        <w:t xml:space="preserve"> (may serve category 3 if approved by HUD)</w:t>
      </w:r>
    </w:p>
    <w:p w14:paraId="1F6111D2" w14:textId="77777777" w:rsidR="00F1648B" w:rsidRPr="00DE6C03" w:rsidRDefault="00F1648B" w:rsidP="00F1648B">
      <w:pPr>
        <w:pStyle w:val="ListParagraph"/>
        <w:numPr>
          <w:ilvl w:val="0"/>
          <w:numId w:val="4"/>
        </w:numPr>
      </w:pPr>
      <w:r w:rsidRPr="00DE6C03">
        <w:t>Renewal DV Bonus and YHDP projects must serve the same designated subpopulations</w:t>
      </w:r>
    </w:p>
    <w:p w14:paraId="7252FBEB" w14:textId="40112858" w:rsidR="00160433" w:rsidRPr="00DE6C03" w:rsidRDefault="00160433" w:rsidP="00090206">
      <w:pPr>
        <w:pStyle w:val="ListParagraph"/>
        <w:numPr>
          <w:ilvl w:val="0"/>
          <w:numId w:val="4"/>
        </w:numPr>
      </w:pPr>
      <w:r w:rsidRPr="00DE6C03">
        <w:t xml:space="preserve">New </w:t>
      </w:r>
      <w:r w:rsidR="00F1648B" w:rsidRPr="00DE6C03">
        <w:t>in 2023</w:t>
      </w:r>
    </w:p>
    <w:p w14:paraId="358EBA6D" w14:textId="355B13DF" w:rsidR="00BB7E5D" w:rsidRPr="00DE6C03" w:rsidRDefault="00BB7E5D" w:rsidP="00160433">
      <w:pPr>
        <w:pStyle w:val="ListParagraph"/>
        <w:numPr>
          <w:ilvl w:val="1"/>
          <w:numId w:val="4"/>
        </w:numPr>
      </w:pPr>
      <w:r w:rsidRPr="00DE6C03">
        <w:t>CoC renewals are allowed to change populations served</w:t>
      </w:r>
      <w:r w:rsidR="00836C0F" w:rsidRPr="00DE6C03">
        <w:t>, however must continue to serve persons currently in the project</w:t>
      </w:r>
      <w:r w:rsidR="00160433" w:rsidRPr="00DE6C03">
        <w:t xml:space="preserve"> and follow PSH and RRH guide</w:t>
      </w:r>
      <w:r w:rsidR="003B0CF0">
        <w:t>lines</w:t>
      </w:r>
      <w:r w:rsidR="00160433" w:rsidRPr="00DE6C03">
        <w:t xml:space="preserve"> </w:t>
      </w:r>
      <w:r w:rsidR="00F1648B" w:rsidRPr="00DE6C03">
        <w:t>above</w:t>
      </w:r>
    </w:p>
    <w:p w14:paraId="377C8E42" w14:textId="32BC25D9" w:rsidR="00836C0F" w:rsidRPr="00DE6C03" w:rsidRDefault="00836C0F" w:rsidP="00160433">
      <w:pPr>
        <w:pStyle w:val="ListParagraph"/>
        <w:numPr>
          <w:ilvl w:val="1"/>
          <w:numId w:val="4"/>
        </w:numPr>
      </w:pPr>
      <w:r w:rsidRPr="00DE6C03">
        <w:t>The following requests may be included in renewals:</w:t>
      </w:r>
    </w:p>
    <w:p w14:paraId="0B0234CD" w14:textId="01E5F444" w:rsidR="00836C0F" w:rsidRPr="00DE6C03" w:rsidRDefault="00160433" w:rsidP="00160433">
      <w:pPr>
        <w:pStyle w:val="ListParagraph"/>
        <w:numPr>
          <w:ilvl w:val="2"/>
          <w:numId w:val="4"/>
        </w:numPr>
      </w:pPr>
      <w:r w:rsidRPr="00DE6C03">
        <w:t>CoC renewals: a</w:t>
      </w:r>
      <w:r w:rsidR="00836C0F" w:rsidRPr="00DE6C03">
        <w:t>dd eligible activities to a project, shift up to 10% of funds from one approved eligible activity to another, and change the subpopulation served</w:t>
      </w:r>
    </w:p>
    <w:p w14:paraId="4CD6767F" w14:textId="4291DDB5" w:rsidR="00836C0F" w:rsidRPr="00DE6C03" w:rsidRDefault="00160433" w:rsidP="00160433">
      <w:pPr>
        <w:pStyle w:val="ListParagraph"/>
        <w:numPr>
          <w:ilvl w:val="2"/>
          <w:numId w:val="4"/>
        </w:numPr>
      </w:pPr>
      <w:r w:rsidRPr="00DE6C03">
        <w:t>YHDP renewals: add eligible activities to a project including Special YHDP Activities and shift up to 10% of funds from one approved eligible activity to another</w:t>
      </w:r>
    </w:p>
    <w:p w14:paraId="3F73F136" w14:textId="1A5D3DC8" w:rsidR="00160433" w:rsidRDefault="00160433" w:rsidP="00160433">
      <w:pPr>
        <w:pStyle w:val="ListParagraph"/>
        <w:numPr>
          <w:ilvl w:val="2"/>
          <w:numId w:val="4"/>
        </w:numPr>
      </w:pPr>
      <w:r w:rsidRPr="00DE6C03">
        <w:t>DV Bonus renewals: add eligible activities to a project and shift up to 10% of funds from one approved eligible activity to another.</w:t>
      </w:r>
    </w:p>
    <w:p w14:paraId="3C05CB59" w14:textId="77777777" w:rsidR="005446EC" w:rsidRDefault="005446EC" w:rsidP="008105B3">
      <w:pPr>
        <w:pStyle w:val="ListParagraph"/>
        <w:numPr>
          <w:ilvl w:val="1"/>
          <w:numId w:val="4"/>
        </w:numPr>
        <w:rPr>
          <w:rStyle w:val="cf01"/>
          <w:rFonts w:asciiTheme="minorHAnsi" w:hAnsiTheme="minorHAnsi" w:cstheme="minorHAnsi"/>
          <w:sz w:val="22"/>
          <w:szCs w:val="22"/>
        </w:rPr>
      </w:pPr>
      <w:r w:rsidRPr="006D4FBF">
        <w:rPr>
          <w:rStyle w:val="cf01"/>
          <w:rFonts w:asciiTheme="minorHAnsi" w:hAnsiTheme="minorHAnsi" w:cstheme="minorHAnsi"/>
          <w:sz w:val="22"/>
          <w:szCs w:val="22"/>
        </w:rPr>
        <w:t xml:space="preserve">Grant Transfers: </w:t>
      </w:r>
    </w:p>
    <w:p w14:paraId="768FF238" w14:textId="3A6BB5D9" w:rsidR="002371E6" w:rsidRPr="00DE6C03" w:rsidRDefault="002371E6" w:rsidP="002371E6">
      <w:pPr>
        <w:pStyle w:val="ListParagraph"/>
        <w:numPr>
          <w:ilvl w:val="2"/>
          <w:numId w:val="4"/>
        </w:numPr>
      </w:pPr>
      <w:r>
        <w:rPr>
          <w:rStyle w:val="cf01"/>
          <w:rFonts w:asciiTheme="minorHAnsi" w:hAnsiTheme="minorHAnsi" w:cstheme="minorHAnsi"/>
          <w:sz w:val="22"/>
          <w:szCs w:val="22"/>
        </w:rPr>
        <w:t xml:space="preserve">If </w:t>
      </w:r>
      <w:r w:rsidR="000850F5">
        <w:rPr>
          <w:rStyle w:val="cf01"/>
          <w:rFonts w:asciiTheme="minorHAnsi" w:hAnsiTheme="minorHAnsi" w:cstheme="minorHAnsi"/>
          <w:sz w:val="22"/>
          <w:szCs w:val="22"/>
        </w:rPr>
        <w:t xml:space="preserve">a grant is in the process of being transferred to a new recipient but the grant agreement amendment has not yet been executed, the current recipient can apply for the renewal and if </w:t>
      </w:r>
      <w:r>
        <w:rPr>
          <w:rStyle w:val="cf01"/>
          <w:rFonts w:asciiTheme="minorHAnsi" w:hAnsiTheme="minorHAnsi" w:cstheme="minorHAnsi"/>
          <w:sz w:val="22"/>
          <w:szCs w:val="22"/>
        </w:rPr>
        <w:t xml:space="preserve">HUD approves a grant transfer to a new recipient prior to the awards announcement, </w:t>
      </w:r>
      <w:r w:rsidRPr="006477E0">
        <w:rPr>
          <w:rStyle w:val="cf01"/>
          <w:rFonts w:asciiTheme="minorHAnsi" w:hAnsiTheme="minorHAnsi" w:cstheme="minorHAnsi"/>
          <w:sz w:val="22"/>
          <w:szCs w:val="22"/>
        </w:rPr>
        <w:t>HUD will treat the change of project applicant as a curable deficiency</w:t>
      </w:r>
      <w:r>
        <w:rPr>
          <w:rStyle w:val="cf01"/>
          <w:rFonts w:asciiTheme="minorHAnsi" w:hAnsiTheme="minorHAnsi" w:cstheme="minorHAnsi"/>
          <w:sz w:val="22"/>
          <w:szCs w:val="22"/>
        </w:rPr>
        <w:t>.</w:t>
      </w:r>
    </w:p>
    <w:p w14:paraId="30E64802" w14:textId="507EBF44" w:rsidR="00BB7E5D" w:rsidRDefault="00BB7E5D" w:rsidP="00BB7E5D">
      <w:pPr>
        <w:pStyle w:val="Heading3"/>
      </w:pPr>
      <w:r>
        <w:t>YHDP</w:t>
      </w:r>
    </w:p>
    <w:p w14:paraId="29549333" w14:textId="0BACAB5D" w:rsidR="00BB7E5D" w:rsidRPr="00DE6C03" w:rsidRDefault="00BB7E5D" w:rsidP="00BB7E5D">
      <w:pPr>
        <w:pStyle w:val="ListParagraph"/>
        <w:numPr>
          <w:ilvl w:val="0"/>
          <w:numId w:val="5"/>
        </w:numPr>
      </w:pPr>
      <w:r w:rsidRPr="00DE6C03">
        <w:t>Round 1 YHDP Grants are now competitively renewed</w:t>
      </w:r>
      <w:r w:rsidR="00282A75">
        <w:t xml:space="preserve"> and must be ranked</w:t>
      </w:r>
      <w:r w:rsidR="000850F5">
        <w:t>.</w:t>
      </w:r>
    </w:p>
    <w:p w14:paraId="641EDFA8" w14:textId="175F71DB" w:rsidR="00BB7E5D" w:rsidRPr="00DE6C03" w:rsidRDefault="005522BD" w:rsidP="00BB7E5D">
      <w:pPr>
        <w:pStyle w:val="ListParagraph"/>
        <w:numPr>
          <w:ilvl w:val="0"/>
          <w:numId w:val="5"/>
        </w:numPr>
      </w:pPr>
      <w:r w:rsidRPr="00DE6C03">
        <w:t xml:space="preserve">As previously, </w:t>
      </w:r>
      <w:r w:rsidR="00BB7E5D" w:rsidRPr="00DE6C03">
        <w:t>Round 2 and beyond YHDP Grants are non-competitively renewed</w:t>
      </w:r>
      <w:r w:rsidR="00282A75">
        <w:t xml:space="preserve"> and are not ranked</w:t>
      </w:r>
    </w:p>
    <w:p w14:paraId="49F2367F" w14:textId="77777777" w:rsidR="005522BD" w:rsidRPr="00DE6C03" w:rsidRDefault="005522BD" w:rsidP="005522BD">
      <w:pPr>
        <w:pStyle w:val="ListParagraph"/>
        <w:numPr>
          <w:ilvl w:val="0"/>
          <w:numId w:val="5"/>
        </w:numPr>
      </w:pPr>
      <w:r w:rsidRPr="00DE6C03">
        <w:t>YHDP applicants can change project model via submission of a YHDP replacement project</w:t>
      </w:r>
    </w:p>
    <w:p w14:paraId="7E47FAA3" w14:textId="0383B6A3" w:rsidR="006E341E" w:rsidRDefault="006E341E" w:rsidP="00BB7E5D">
      <w:pPr>
        <w:pStyle w:val="ListParagraph"/>
        <w:numPr>
          <w:ilvl w:val="1"/>
          <w:numId w:val="5"/>
        </w:numPr>
      </w:pPr>
      <w:r>
        <w:t xml:space="preserve">Must demonstrate approval by Youth Action Board (YAB) </w:t>
      </w:r>
    </w:p>
    <w:p w14:paraId="76795C1B" w14:textId="3A19791C" w:rsidR="00BB7E5D" w:rsidRPr="00DE6C03" w:rsidRDefault="00BB7E5D" w:rsidP="00BB7E5D">
      <w:pPr>
        <w:pStyle w:val="ListParagraph"/>
        <w:numPr>
          <w:ilvl w:val="1"/>
          <w:numId w:val="5"/>
        </w:numPr>
      </w:pPr>
      <w:r w:rsidRPr="00DE6C03">
        <w:t xml:space="preserve">Eligible replacement types are PSH, RRH, Joint TH/RRH, Transitional Housing or Crisis Residential Transitional Housing, SSO, SSO-CE, HMIS, Host Homes, and Kinship Care, Shared Housing AND other special activities (see NOFO, pp. </w:t>
      </w:r>
      <w:r w:rsidR="002E3797" w:rsidRPr="00DE6C03">
        <w:t>46-49</w:t>
      </w:r>
      <w:r w:rsidRPr="00DE6C03">
        <w:t xml:space="preserve"> for more details on special activities)</w:t>
      </w:r>
    </w:p>
    <w:p w14:paraId="09734C8E" w14:textId="63677C75" w:rsidR="005328E1" w:rsidRPr="00DE6C03" w:rsidRDefault="005328E1" w:rsidP="0069445C">
      <w:pPr>
        <w:pStyle w:val="ListParagraph"/>
        <w:numPr>
          <w:ilvl w:val="0"/>
          <w:numId w:val="4"/>
        </w:numPr>
      </w:pPr>
      <w:r w:rsidRPr="00DE6C03">
        <w:t>YHDP replacement projects must serve youth aged 24 and younger who 1) meet category 1, 2 or 4 homeless</w:t>
      </w:r>
      <w:r w:rsidR="00732711">
        <w:t xml:space="preserve"> (may serve category 3 if approved by HUD)</w:t>
      </w:r>
      <w:r w:rsidRPr="00DE6C03">
        <w:t xml:space="preserve">; or 2) have an unsafe primary nighttime residence and no safe alternative to same </w:t>
      </w:r>
    </w:p>
    <w:p w14:paraId="39D2B9F2" w14:textId="36DCE12A" w:rsidR="00BB7E5D" w:rsidRPr="00DE6C03" w:rsidRDefault="00BB7E5D" w:rsidP="00BB7E5D">
      <w:pPr>
        <w:pStyle w:val="ListParagraph"/>
        <w:numPr>
          <w:ilvl w:val="0"/>
          <w:numId w:val="5"/>
        </w:numPr>
      </w:pPr>
      <w:r w:rsidRPr="00DE6C03">
        <w:t>YHDP projects can consolidate with YHDP projects only</w:t>
      </w:r>
      <w:r w:rsidR="00C95C2C">
        <w:t xml:space="preserve"> through YHDP Replacement projects</w:t>
      </w:r>
    </w:p>
    <w:p w14:paraId="6EE9FEC6" w14:textId="5CA9F712" w:rsidR="00BB7E5D" w:rsidRPr="00DE6C03" w:rsidRDefault="00BB7E5D" w:rsidP="00BB7E5D">
      <w:pPr>
        <w:pStyle w:val="ListParagraph"/>
        <w:numPr>
          <w:ilvl w:val="0"/>
          <w:numId w:val="5"/>
        </w:numPr>
      </w:pPr>
      <w:r w:rsidRPr="00DE6C03">
        <w:t xml:space="preserve">YHDP projects cannot </w:t>
      </w:r>
      <w:r w:rsidR="008433AD" w:rsidRPr="00DE6C03">
        <w:t>use the expansion process</w:t>
      </w:r>
    </w:p>
    <w:p w14:paraId="36331A57" w14:textId="34180CD6" w:rsidR="00BB7E5D" w:rsidRPr="00DE6C03" w:rsidRDefault="005522BD" w:rsidP="00BB7E5D">
      <w:pPr>
        <w:pStyle w:val="ListParagraph"/>
        <w:numPr>
          <w:ilvl w:val="0"/>
          <w:numId w:val="5"/>
        </w:numPr>
      </w:pPr>
      <w:r w:rsidRPr="00DE6C03">
        <w:t>Unlike previous years,</w:t>
      </w:r>
      <w:r w:rsidR="00C95C2C">
        <w:t xml:space="preserve"> CoCs may reallocate </w:t>
      </w:r>
      <w:r w:rsidR="00BB7E5D" w:rsidRPr="00DE6C03">
        <w:t xml:space="preserve">YHDP Round 1 projects </w:t>
      </w:r>
      <w:r w:rsidRPr="00DE6C03">
        <w:t>to create new CoC grants</w:t>
      </w:r>
      <w:r w:rsidR="00BB7E5D" w:rsidRPr="00DE6C03">
        <w:t>. YHDP Round 2 and beyond cannot use reallocation.</w:t>
      </w:r>
    </w:p>
    <w:p w14:paraId="7843B226" w14:textId="30770C19" w:rsidR="005522BD" w:rsidRDefault="005522BD" w:rsidP="005522BD">
      <w:pPr>
        <w:pStyle w:val="ListParagraph"/>
        <w:numPr>
          <w:ilvl w:val="1"/>
          <w:numId w:val="5"/>
        </w:numPr>
      </w:pPr>
      <w:r w:rsidRPr="00DE6C03">
        <w:t>If reallocate Round 1 YHDP grant to new CoC grant, reallocated funds are no longer eligible to be used for YHDP Special Activities</w:t>
      </w:r>
    </w:p>
    <w:p w14:paraId="329B8AF9" w14:textId="27B8CD5A" w:rsidR="0082771F" w:rsidRPr="00DE6C03" w:rsidRDefault="0082771F" w:rsidP="005522BD">
      <w:pPr>
        <w:pStyle w:val="ListParagraph"/>
        <w:numPr>
          <w:ilvl w:val="1"/>
          <w:numId w:val="5"/>
        </w:numPr>
      </w:pPr>
      <w:r>
        <w:t>Reallocated YHDP projects used to create new CoC grants need not serve youth</w:t>
      </w:r>
    </w:p>
    <w:p w14:paraId="0CC3ECF2" w14:textId="05BDBE76" w:rsidR="00BB7E5D" w:rsidRPr="00DE6C03" w:rsidRDefault="00BB7E5D" w:rsidP="00BB7E5D">
      <w:pPr>
        <w:pStyle w:val="ListParagraph"/>
        <w:numPr>
          <w:ilvl w:val="0"/>
          <w:numId w:val="5"/>
        </w:numPr>
      </w:pPr>
      <w:r w:rsidRPr="00DE6C03">
        <w:lastRenderedPageBreak/>
        <w:t>YHDP projects do not need to meet match requirement if: applicant is able to demonstrate that it has taken reasonable steps to maximize resources available for youth experiencing homelessness</w:t>
      </w:r>
    </w:p>
    <w:p w14:paraId="4B751AE8" w14:textId="052F746D" w:rsidR="005522BD" w:rsidRPr="00DE6C03" w:rsidRDefault="005522BD" w:rsidP="00BB7E5D">
      <w:pPr>
        <w:pStyle w:val="ListParagraph"/>
        <w:numPr>
          <w:ilvl w:val="0"/>
          <w:numId w:val="5"/>
        </w:numPr>
      </w:pPr>
      <w:r w:rsidRPr="00DE6C03">
        <w:t>YHDP Special Activities: Applicants can integrate these into project design by selecting these in YHDP Renewal and YHDP Replacement project applications</w:t>
      </w:r>
    </w:p>
    <w:p w14:paraId="6A53C985" w14:textId="64202560" w:rsidR="005522BD" w:rsidRPr="00DE6C03" w:rsidRDefault="005522BD" w:rsidP="005522BD">
      <w:pPr>
        <w:pStyle w:val="ListParagraph"/>
        <w:numPr>
          <w:ilvl w:val="1"/>
          <w:numId w:val="5"/>
        </w:numPr>
      </w:pPr>
      <w:r w:rsidRPr="00DE6C03">
        <w:t>YHDP renewal applicants can continue to select previously approved Special Activities</w:t>
      </w:r>
    </w:p>
    <w:p w14:paraId="72DF1303" w14:textId="22DD6D44" w:rsidR="005522BD" w:rsidRPr="00DE6C03" w:rsidRDefault="005522BD" w:rsidP="005522BD">
      <w:pPr>
        <w:pStyle w:val="ListParagraph"/>
        <w:numPr>
          <w:ilvl w:val="1"/>
          <w:numId w:val="5"/>
        </w:numPr>
      </w:pPr>
      <w:r w:rsidRPr="00DE6C03">
        <w:t>YHDP renewal applicants can also request new Special Activities in renewal applications</w:t>
      </w:r>
    </w:p>
    <w:p w14:paraId="6E37E652" w14:textId="7437814F" w:rsidR="00E71D43" w:rsidRDefault="00E71D43" w:rsidP="00E71D43">
      <w:pPr>
        <w:pStyle w:val="Heading3"/>
      </w:pPr>
      <w:r>
        <w:t>New Projects</w:t>
      </w:r>
    </w:p>
    <w:p w14:paraId="0CEA8A4F" w14:textId="508FAE43" w:rsidR="00E71D43" w:rsidRPr="00DE6C03" w:rsidRDefault="00E71D43" w:rsidP="00E71D43">
      <w:pPr>
        <w:pStyle w:val="ListParagraph"/>
        <w:numPr>
          <w:ilvl w:val="0"/>
          <w:numId w:val="6"/>
        </w:numPr>
      </w:pPr>
      <w:r w:rsidRPr="00DE6C03">
        <w:t>New PSH must be 100% chronic homeless or DedicatedPLUS</w:t>
      </w:r>
    </w:p>
    <w:p w14:paraId="0E1D4FBE" w14:textId="6D64DA51" w:rsidR="00E71D43" w:rsidRPr="00DE6C03" w:rsidRDefault="00E71D43" w:rsidP="00E71D43">
      <w:pPr>
        <w:pStyle w:val="ListParagraph"/>
        <w:numPr>
          <w:ilvl w:val="0"/>
          <w:numId w:val="6"/>
        </w:numPr>
      </w:pPr>
      <w:r w:rsidRPr="00DE6C03">
        <w:t>New RRH, Joint TH/RRH</w:t>
      </w:r>
      <w:r w:rsidR="00BA4E56" w:rsidRPr="00DE6C03">
        <w:t>, and SSO-CE</w:t>
      </w:r>
      <w:r w:rsidRPr="00DE6C03">
        <w:t xml:space="preserve"> may serve categories 1, 2, </w:t>
      </w:r>
      <w:r w:rsidR="006E341E">
        <w:t xml:space="preserve">3 (if approved) </w:t>
      </w:r>
      <w:r w:rsidRPr="00DE6C03">
        <w:t>and 4 homeless</w:t>
      </w:r>
    </w:p>
    <w:p w14:paraId="1588E5F2" w14:textId="19B141E4" w:rsidR="00E71D43" w:rsidRDefault="00E71D43" w:rsidP="00E71D43">
      <w:pPr>
        <w:pStyle w:val="ListParagraph"/>
        <w:numPr>
          <w:ilvl w:val="0"/>
          <w:numId w:val="6"/>
        </w:numPr>
      </w:pPr>
      <w:r w:rsidRPr="00DE6C03">
        <w:t>DV Bonus projects must serve survivors of DV, dating violence, sexual assault</w:t>
      </w:r>
      <w:r w:rsidR="005328E1">
        <w:t xml:space="preserve">, </w:t>
      </w:r>
      <w:r w:rsidRPr="00DE6C03">
        <w:t>stalking</w:t>
      </w:r>
      <w:r w:rsidR="005328E1">
        <w:t>, or human trafficking</w:t>
      </w:r>
    </w:p>
    <w:p w14:paraId="6BE8546D" w14:textId="49C2DB9A" w:rsidR="005328E1" w:rsidRPr="00DE6C03" w:rsidRDefault="005328E1" w:rsidP="008105B3">
      <w:pPr>
        <w:pStyle w:val="ListParagraph"/>
        <w:numPr>
          <w:ilvl w:val="1"/>
          <w:numId w:val="6"/>
        </w:numPr>
      </w:pPr>
      <w:r>
        <w:t>HUD clarified:  HUD considers human trafficking, including sex trafficking to be “other dangerous or life-threatening conditions related to violence against individual or family member” under category 4 homeless definition. However, a DV Bonus project may not exclusively serve people fleeing or attempting to flee human trafficking</w:t>
      </w:r>
    </w:p>
    <w:p w14:paraId="17751AF9" w14:textId="77777777" w:rsidR="00E71D43" w:rsidRPr="00DE6C03" w:rsidRDefault="00E71D43" w:rsidP="00E71D43">
      <w:pPr>
        <w:pStyle w:val="ListParagraph"/>
        <w:numPr>
          <w:ilvl w:val="0"/>
          <w:numId w:val="6"/>
        </w:numPr>
      </w:pPr>
      <w:r w:rsidRPr="00DE6C03">
        <w:t>Expansion projects add units, beds, persons served, services provided to existing participants, or for HMIS or coordinated entry increase HMIS activities or CE activities within CoC area</w:t>
      </w:r>
    </w:p>
    <w:p w14:paraId="02988A8B" w14:textId="77777777" w:rsidR="00E71D43" w:rsidRPr="00DE6C03" w:rsidRDefault="00E71D43" w:rsidP="00E71D43">
      <w:pPr>
        <w:pStyle w:val="ListParagraph"/>
        <w:numPr>
          <w:ilvl w:val="0"/>
          <w:numId w:val="6"/>
        </w:numPr>
      </w:pPr>
      <w:r w:rsidRPr="00DE6C03">
        <w:t>May request 1 year of funding with a grant term of between 12 and 18 months in the first year of operation</w:t>
      </w:r>
    </w:p>
    <w:p w14:paraId="4765B6AA" w14:textId="28D3977A" w:rsidR="00F1648B" w:rsidRPr="00DE6C03" w:rsidRDefault="00F1648B" w:rsidP="00E71D43">
      <w:pPr>
        <w:pStyle w:val="ListParagraph"/>
        <w:numPr>
          <w:ilvl w:val="0"/>
          <w:numId w:val="6"/>
        </w:numPr>
      </w:pPr>
      <w:r w:rsidRPr="00DE6C03">
        <w:t>VAWA Costs, described above under Renewals, may be included in new projects</w:t>
      </w:r>
    </w:p>
    <w:p w14:paraId="318E4ADA" w14:textId="62156F50" w:rsidR="00F1648B" w:rsidRPr="00DE6C03" w:rsidRDefault="00F1648B" w:rsidP="00E71D43">
      <w:pPr>
        <w:pStyle w:val="ListParagraph"/>
        <w:numPr>
          <w:ilvl w:val="0"/>
          <w:numId w:val="6"/>
        </w:numPr>
      </w:pPr>
      <w:r w:rsidRPr="00DE6C03">
        <w:t>Rural Costs, described above under Renewals, may be included in new projects meeting the definition of Rural in this NOFO</w:t>
      </w:r>
    </w:p>
    <w:p w14:paraId="12173AFC" w14:textId="64FAF12B" w:rsidR="00E71D43" w:rsidRDefault="00E71D43" w:rsidP="00E71D43">
      <w:pPr>
        <w:pStyle w:val="Heading3"/>
      </w:pPr>
      <w:r>
        <w:t>Indirect Costs</w:t>
      </w:r>
    </w:p>
    <w:p w14:paraId="19EEC704" w14:textId="3D8BAA97" w:rsidR="00E71D43" w:rsidRPr="00DE6C03" w:rsidRDefault="00E71D43" w:rsidP="00E71D43">
      <w:pPr>
        <w:pStyle w:val="ListParagraph"/>
        <w:numPr>
          <w:ilvl w:val="0"/>
          <w:numId w:val="8"/>
        </w:numPr>
      </w:pPr>
      <w:r w:rsidRPr="00DE6C03">
        <w:t>Project application must state intent to charge indirect, rate and distribution base (Modified Total Direct Cost – MTDC – for all without negotiated rate)</w:t>
      </w:r>
      <w:r w:rsidR="003B7749" w:rsidRPr="00DE6C03">
        <w:t>. Applies to applicant and any sub-recipient(s).</w:t>
      </w:r>
    </w:p>
    <w:p w14:paraId="53B4C6D0" w14:textId="40397AA1" w:rsidR="00732711" w:rsidRPr="00DE6C03" w:rsidRDefault="003B7749" w:rsidP="00E71D43">
      <w:pPr>
        <w:pStyle w:val="ListParagraph"/>
        <w:numPr>
          <w:ilvl w:val="0"/>
          <w:numId w:val="8"/>
        </w:numPr>
      </w:pPr>
      <w:r w:rsidRPr="00DE6C03">
        <w:t>If intent is to use</w:t>
      </w:r>
      <w:r w:rsidR="00E71D43" w:rsidRPr="00DE6C03">
        <w:t xml:space="preserve"> de minimis rate of 10%</w:t>
      </w:r>
      <w:r w:rsidRPr="00DE6C03">
        <w:t>, applicant must indicate that.</w:t>
      </w:r>
    </w:p>
    <w:p w14:paraId="4F4323E7" w14:textId="57B73A19" w:rsidR="003B7749" w:rsidRPr="00DE6C03" w:rsidRDefault="00732711" w:rsidP="0069445C">
      <w:pPr>
        <w:pStyle w:val="ListParagraph"/>
        <w:numPr>
          <w:ilvl w:val="0"/>
          <w:numId w:val="8"/>
        </w:numPr>
      </w:pPr>
      <w:r>
        <w:t>M</w:t>
      </w:r>
      <w:r w:rsidR="003B7749" w:rsidRPr="00DE6C03">
        <w:t>ust be applied consistently for all Federal awards</w:t>
      </w:r>
    </w:p>
    <w:p w14:paraId="5BF8B38E" w14:textId="77777777" w:rsidR="00582427" w:rsidRPr="00DE6C03" w:rsidRDefault="00582427" w:rsidP="00582427">
      <w:pPr>
        <w:pStyle w:val="Heading3"/>
      </w:pPr>
      <w:r w:rsidRPr="00DE6C03">
        <w:t xml:space="preserve">Update: Amendment to Category 4 Homeless Criteria. </w:t>
      </w:r>
      <w:r w:rsidRPr="00DE6C03">
        <w:rPr>
          <w:sz w:val="20"/>
          <w:szCs w:val="20"/>
        </w:rPr>
        <w:t>New text is italicized below.</w:t>
      </w:r>
    </w:p>
    <w:p w14:paraId="6F0D45DF" w14:textId="77777777" w:rsidR="00582427" w:rsidRPr="00DE6C03" w:rsidRDefault="00582427" w:rsidP="00582427">
      <w:pPr>
        <w:pStyle w:val="ListParagraph"/>
        <w:numPr>
          <w:ilvl w:val="0"/>
          <w:numId w:val="12"/>
        </w:numPr>
      </w:pPr>
      <w:r w:rsidRPr="00DE6C03">
        <w:t xml:space="preserve">Any individual of family who – </w:t>
      </w:r>
    </w:p>
    <w:p w14:paraId="6B3E5C71" w14:textId="77777777" w:rsidR="00582427" w:rsidRPr="009418F8" w:rsidRDefault="00582427" w:rsidP="00582427">
      <w:pPr>
        <w:pStyle w:val="ListParagraph"/>
        <w:numPr>
          <w:ilvl w:val="1"/>
          <w:numId w:val="12"/>
        </w:numPr>
      </w:pPr>
      <w:r w:rsidRPr="00DE6C03">
        <w:t xml:space="preserve">1) is </w:t>
      </w:r>
      <w:r w:rsidRPr="00DE6C03">
        <w:rPr>
          <w:i/>
          <w:iCs/>
        </w:rPr>
        <w:t>experiencing trauma or lack of safety related to, o</w:t>
      </w:r>
      <w:r w:rsidRPr="00DE6C03">
        <w:t xml:space="preserve">r fleeing or attempting to flee domestic violence, dating violence, sexual assault, stalking or other dangerous, traumatic, or life-threatening conditions related to the violence against the individual or a </w:t>
      </w:r>
      <w:r w:rsidRPr="009418F8">
        <w:t>family member in the individual's or family's current housing situation, including where</w:t>
      </w:r>
      <w:r w:rsidRPr="00DE6C03">
        <w:t xml:space="preserve"> </w:t>
      </w:r>
      <w:r w:rsidRPr="009418F8">
        <w:t>the health and safety of children are jeopardized;</w:t>
      </w:r>
    </w:p>
    <w:p w14:paraId="526D5290" w14:textId="77777777" w:rsidR="00582427" w:rsidRPr="009418F8" w:rsidRDefault="00582427" w:rsidP="00582427">
      <w:pPr>
        <w:pStyle w:val="ListParagraph"/>
        <w:numPr>
          <w:ilvl w:val="1"/>
          <w:numId w:val="12"/>
        </w:numPr>
      </w:pPr>
      <w:r w:rsidRPr="009418F8">
        <w:t xml:space="preserve">(2) has no other </w:t>
      </w:r>
      <w:r w:rsidRPr="0069445C">
        <w:rPr>
          <w:i/>
          <w:iCs/>
        </w:rPr>
        <w:t xml:space="preserve">safe </w:t>
      </w:r>
      <w:r w:rsidRPr="009418F8">
        <w:t>residence; and</w:t>
      </w:r>
    </w:p>
    <w:p w14:paraId="47052D5D" w14:textId="1E6E40DB" w:rsidR="00582427" w:rsidRPr="0069445C" w:rsidRDefault="00582427" w:rsidP="00582427">
      <w:pPr>
        <w:pStyle w:val="ListParagraph"/>
        <w:numPr>
          <w:ilvl w:val="1"/>
          <w:numId w:val="12"/>
        </w:numPr>
        <w:rPr>
          <w:i/>
          <w:iCs/>
        </w:rPr>
      </w:pPr>
      <w:r w:rsidRPr="00DE6C03">
        <w:t>(3) lacks the resources to obtain other safe permanent housing.</w:t>
      </w:r>
      <w:r w:rsidR="00732711">
        <w:t xml:space="preserve"> (</w:t>
      </w:r>
      <w:r w:rsidR="00732711" w:rsidRPr="0069445C">
        <w:rPr>
          <w:i/>
          <w:iCs/>
        </w:rPr>
        <w:t>support networks omitted)</w:t>
      </w:r>
    </w:p>
    <w:p w14:paraId="2CAA1477" w14:textId="2B3CC24D" w:rsidR="00582427" w:rsidRPr="00DE6C03" w:rsidRDefault="00582427" w:rsidP="00582427">
      <w:pPr>
        <w:pStyle w:val="ListParagraph"/>
        <w:numPr>
          <w:ilvl w:val="0"/>
          <w:numId w:val="12"/>
        </w:numPr>
      </w:pPr>
      <w:r w:rsidRPr="00DE6C03">
        <w:lastRenderedPageBreak/>
        <w:t>As of 10/1/2022, CoC recipients may implement new definition provided the</w:t>
      </w:r>
      <w:r>
        <w:t xml:space="preserve"> CoC </w:t>
      </w:r>
      <w:r w:rsidRPr="00DE6C03">
        <w:t>ha</w:t>
      </w:r>
      <w:r>
        <w:t>s</w:t>
      </w:r>
      <w:r w:rsidRPr="00DE6C03">
        <w:t xml:space="preserve"> updated relevant written standards and policies as needed to reflect new criteria</w:t>
      </w:r>
      <w:r w:rsidR="00732711">
        <w:t>.</w:t>
      </w:r>
    </w:p>
    <w:p w14:paraId="76376BC8" w14:textId="77777777" w:rsidR="00725C1A" w:rsidRDefault="00725C1A" w:rsidP="00725C1A">
      <w:pPr>
        <w:pStyle w:val="Heading2"/>
      </w:pPr>
      <w:r>
        <w:t>CoC Application</w:t>
      </w:r>
    </w:p>
    <w:p w14:paraId="32318FAC" w14:textId="0322845B" w:rsidR="00725C1A" w:rsidRDefault="005A2690" w:rsidP="00725C1A">
      <w:pPr>
        <w:pStyle w:val="Heading3"/>
      </w:pPr>
      <w:r>
        <w:t xml:space="preserve">Notable </w:t>
      </w:r>
      <w:r w:rsidR="00725C1A">
        <w:t>New Requirements:</w:t>
      </w:r>
    </w:p>
    <w:p w14:paraId="06DD5531" w14:textId="5D9562C0" w:rsidR="005A2690" w:rsidRDefault="005A2690" w:rsidP="00725C1A">
      <w:pPr>
        <w:pStyle w:val="ListParagraph"/>
        <w:numPr>
          <w:ilvl w:val="0"/>
          <w:numId w:val="1"/>
        </w:numPr>
      </w:pPr>
      <w:r>
        <w:t>All projects are trauma-informed</w:t>
      </w:r>
    </w:p>
    <w:p w14:paraId="326184DD" w14:textId="21CA25E2" w:rsidR="00725C1A" w:rsidRPr="003B0CF0" w:rsidRDefault="00725C1A" w:rsidP="00725C1A">
      <w:pPr>
        <w:pStyle w:val="ListParagraph"/>
        <w:numPr>
          <w:ilvl w:val="0"/>
          <w:numId w:val="1"/>
        </w:numPr>
      </w:pPr>
      <w:r>
        <w:t xml:space="preserve">LGBTQ+: </w:t>
      </w:r>
      <w:r w:rsidRPr="003B0CF0">
        <w:t>New language re: updating anti-discrimination policies</w:t>
      </w:r>
      <w:r w:rsidR="005A2690">
        <w:t xml:space="preserve"> and </w:t>
      </w:r>
      <w:r w:rsidR="005A2690">
        <w:rPr>
          <w:rFonts w:cstheme="minorHAnsi"/>
        </w:rPr>
        <w:t>p</w:t>
      </w:r>
      <w:r w:rsidR="005A2690" w:rsidRPr="00830631">
        <w:rPr>
          <w:rFonts w:cstheme="minorHAnsi"/>
        </w:rPr>
        <w:t xml:space="preserve">roject selection </w:t>
      </w:r>
      <w:r w:rsidR="005A2690">
        <w:rPr>
          <w:rFonts w:cstheme="minorHAnsi"/>
        </w:rPr>
        <w:t xml:space="preserve">precess that </w:t>
      </w:r>
      <w:r w:rsidR="005A2690" w:rsidRPr="00830631">
        <w:rPr>
          <w:rFonts w:cstheme="minorHAnsi"/>
        </w:rPr>
        <w:t>ensure</w:t>
      </w:r>
      <w:r w:rsidR="005A2690">
        <w:rPr>
          <w:rFonts w:cstheme="minorHAnsi"/>
        </w:rPr>
        <w:t>s</w:t>
      </w:r>
      <w:r w:rsidR="005A2690" w:rsidRPr="00830631">
        <w:rPr>
          <w:rFonts w:cstheme="minorHAnsi"/>
        </w:rPr>
        <w:t xml:space="preserve"> privacy, respect, safety and access regardless of gender identity and sexual orientation</w:t>
      </w:r>
    </w:p>
    <w:p w14:paraId="1D71214A" w14:textId="23FBDDD7" w:rsidR="006728C2" w:rsidRDefault="006728C2" w:rsidP="00725C1A">
      <w:pPr>
        <w:pStyle w:val="ListParagraph"/>
        <w:numPr>
          <w:ilvl w:val="0"/>
          <w:numId w:val="1"/>
        </w:numPr>
      </w:pPr>
      <w:r>
        <w:t>Attach example of how CoC evaluates providers’ fidelity to Housing First</w:t>
      </w:r>
    </w:p>
    <w:p w14:paraId="0CC9D604" w14:textId="707D4972" w:rsidR="006728C2" w:rsidRDefault="006728C2" w:rsidP="00725C1A">
      <w:pPr>
        <w:pStyle w:val="ListParagraph"/>
        <w:numPr>
          <w:ilvl w:val="0"/>
          <w:numId w:val="1"/>
        </w:numPr>
      </w:pPr>
      <w:r>
        <w:t>Show that Coordinated Entry (CE) affirmatively markets housing and services within CoC</w:t>
      </w:r>
    </w:p>
    <w:p w14:paraId="18C7CDC0" w14:textId="2EB0056A" w:rsidR="006728C2" w:rsidRDefault="006728C2" w:rsidP="006728C2">
      <w:pPr>
        <w:pStyle w:val="ListParagraph"/>
        <w:numPr>
          <w:ilvl w:val="1"/>
          <w:numId w:val="1"/>
        </w:numPr>
      </w:pPr>
      <w:r>
        <w:t>Inform program participants of rights and remedies under Federal, state and local law</w:t>
      </w:r>
    </w:p>
    <w:p w14:paraId="1C8FF816" w14:textId="150F0DB7" w:rsidR="006728C2" w:rsidRDefault="006728C2" w:rsidP="008105B3">
      <w:pPr>
        <w:pStyle w:val="ListParagraph"/>
        <w:numPr>
          <w:ilvl w:val="1"/>
          <w:numId w:val="1"/>
        </w:numPr>
      </w:pPr>
      <w:r>
        <w:t>Report any conditions or actions impeding fair housing choice to Con Plan jurisdiction</w:t>
      </w:r>
    </w:p>
    <w:p w14:paraId="25959C9C" w14:textId="0DE32918" w:rsidR="006728C2" w:rsidRDefault="00725C1A" w:rsidP="00725C1A">
      <w:pPr>
        <w:pStyle w:val="ListParagraph"/>
        <w:numPr>
          <w:ilvl w:val="0"/>
          <w:numId w:val="1"/>
        </w:numPr>
      </w:pPr>
      <w:r>
        <w:t>Persons with Lived Experience</w:t>
      </w:r>
      <w:r w:rsidR="005A2690">
        <w:t xml:space="preserve"> </w:t>
      </w:r>
    </w:p>
    <w:p w14:paraId="65AD3FFD" w14:textId="4614487F" w:rsidR="006728C2" w:rsidRDefault="00056C05" w:rsidP="00056C05">
      <w:pPr>
        <w:pStyle w:val="ListParagraph"/>
        <w:numPr>
          <w:ilvl w:val="1"/>
          <w:numId w:val="1"/>
        </w:numPr>
      </w:pPr>
      <w:r>
        <w:t>Persons with Lived Experience of Homelessness (PLEH)</w:t>
      </w:r>
      <w:r w:rsidR="006728C2">
        <w:t xml:space="preserve">included in development of </w:t>
      </w:r>
      <w:r w:rsidR="005A2690">
        <w:t xml:space="preserve">Coordinated Entry </w:t>
      </w:r>
      <w:r w:rsidR="006728C2">
        <w:t>process</w:t>
      </w:r>
    </w:p>
    <w:p w14:paraId="6232E1C8" w14:textId="4C245BCF" w:rsidR="00725C1A" w:rsidRDefault="00725C1A" w:rsidP="008105B3">
      <w:pPr>
        <w:pStyle w:val="ListParagraph"/>
        <w:numPr>
          <w:ilvl w:val="1"/>
          <w:numId w:val="1"/>
        </w:numPr>
      </w:pPr>
      <w:r w:rsidRPr="003B0CF0">
        <w:t>Include letter from PLE</w:t>
      </w:r>
      <w:r w:rsidR="005A2690">
        <w:t>H</w:t>
      </w:r>
      <w:r w:rsidRPr="003B0CF0">
        <w:t xml:space="preserve"> working group supporting priorities for serving individuals and families</w:t>
      </w:r>
      <w:r>
        <w:t xml:space="preserve"> experiencing homelessness with severe service needs</w:t>
      </w:r>
    </w:p>
    <w:p w14:paraId="1E5BDF7B" w14:textId="6576CE51" w:rsidR="00056C05" w:rsidRDefault="00056C05" w:rsidP="008105B3">
      <w:pPr>
        <w:pStyle w:val="ListParagraph"/>
        <w:numPr>
          <w:ilvl w:val="1"/>
          <w:numId w:val="1"/>
        </w:numPr>
      </w:pPr>
      <w:r>
        <w:t>DV survivors involved in the development of CoC-wide policies and programs</w:t>
      </w:r>
    </w:p>
    <w:p w14:paraId="4FFC4533" w14:textId="5B664F42" w:rsidR="00725C1A" w:rsidRDefault="00725C1A" w:rsidP="00725C1A">
      <w:pPr>
        <w:pStyle w:val="Heading3"/>
      </w:pPr>
      <w:r>
        <w:t>Scoring</w:t>
      </w:r>
    </w:p>
    <w:p w14:paraId="185CC794" w14:textId="164ED2CE" w:rsidR="00725C1A" w:rsidRDefault="006728C2" w:rsidP="00725C1A">
      <w:pPr>
        <w:pStyle w:val="ListParagraph"/>
        <w:numPr>
          <w:ilvl w:val="0"/>
          <w:numId w:val="21"/>
        </w:numPr>
      </w:pPr>
      <w:r>
        <w:t>200</w:t>
      </w:r>
      <w:r w:rsidR="00725C1A">
        <w:t xml:space="preserve"> Points Total</w:t>
      </w:r>
    </w:p>
    <w:p w14:paraId="010C02B7" w14:textId="2250C673" w:rsidR="00725C1A" w:rsidRPr="008105B3" w:rsidRDefault="00725C1A" w:rsidP="00725C1A">
      <w:pPr>
        <w:rPr>
          <w:b/>
          <w:bCs/>
        </w:rPr>
      </w:pPr>
      <w:r w:rsidRPr="008105B3">
        <w:rPr>
          <w:b/>
          <w:bCs/>
        </w:rPr>
        <w:t xml:space="preserve">CoC Coordination and Engagement </w:t>
      </w:r>
      <w:r w:rsidRPr="00725C1A">
        <w:t xml:space="preserve">(Total </w:t>
      </w:r>
      <w:r w:rsidR="00E014FA">
        <w:t>85</w:t>
      </w:r>
      <w:r w:rsidRPr="00725C1A">
        <w:t>) – includes:</w:t>
      </w:r>
    </w:p>
    <w:p w14:paraId="71501333" w14:textId="246D9E63" w:rsidR="00725C1A" w:rsidRDefault="00725C1A" w:rsidP="00725C1A">
      <w:pPr>
        <w:pStyle w:val="ListParagraph"/>
        <w:numPr>
          <w:ilvl w:val="0"/>
          <w:numId w:val="21"/>
        </w:numPr>
      </w:pPr>
      <w:r>
        <w:t xml:space="preserve"> </w:t>
      </w:r>
      <w:r w:rsidR="00E014FA">
        <w:t>7 p</w:t>
      </w:r>
      <w:r>
        <w:t>oints for addressing the needs of LGBTQ+ individuals</w:t>
      </w:r>
    </w:p>
    <w:p w14:paraId="7254D5D9" w14:textId="011BDCA9" w:rsidR="00725C1A" w:rsidRDefault="00725C1A" w:rsidP="00725C1A">
      <w:pPr>
        <w:pStyle w:val="ListParagraph"/>
        <w:numPr>
          <w:ilvl w:val="0"/>
          <w:numId w:val="21"/>
        </w:numPr>
      </w:pPr>
      <w:r>
        <w:t xml:space="preserve"> </w:t>
      </w:r>
      <w:r w:rsidR="00E014FA">
        <w:t>10 p</w:t>
      </w:r>
      <w:r>
        <w:t>oints for coordination with PHAs</w:t>
      </w:r>
    </w:p>
    <w:p w14:paraId="78F8C0E6" w14:textId="77777777" w:rsidR="00AC6EC9" w:rsidRPr="003B0CF0" w:rsidRDefault="00AC6EC9" w:rsidP="00AC6EC9">
      <w:pPr>
        <w:pStyle w:val="ListParagraph"/>
        <w:numPr>
          <w:ilvl w:val="1"/>
          <w:numId w:val="21"/>
        </w:numPr>
      </w:pPr>
      <w:r w:rsidRPr="003B0CF0">
        <w:t>PHA units in coordinated entry</w:t>
      </w:r>
    </w:p>
    <w:p w14:paraId="7A0D2AB7" w14:textId="77777777" w:rsidR="00AC6EC9" w:rsidRDefault="00AC6EC9" w:rsidP="00AC6EC9">
      <w:pPr>
        <w:pStyle w:val="ListParagraph"/>
        <w:numPr>
          <w:ilvl w:val="1"/>
          <w:numId w:val="21"/>
        </w:numPr>
      </w:pPr>
      <w:r w:rsidRPr="003B0CF0">
        <w:t>Implementing Emergency Housing Vouchers, HUD-VASH, Mainstream Vouchers, Family Unification Program Vouchers, and others (units dedicated to / admission preference for people experiencing homelessness)</w:t>
      </w:r>
    </w:p>
    <w:p w14:paraId="44B1481A" w14:textId="652A3ADF" w:rsidR="00E014FA" w:rsidRDefault="00E014FA" w:rsidP="00E014FA">
      <w:pPr>
        <w:pStyle w:val="ListParagraph"/>
        <w:numPr>
          <w:ilvl w:val="0"/>
          <w:numId w:val="21"/>
        </w:numPr>
      </w:pPr>
      <w:r>
        <w:t>10 points for Housing First</w:t>
      </w:r>
    </w:p>
    <w:p w14:paraId="25C2DD83" w14:textId="241FE4B0" w:rsidR="006728C2" w:rsidRDefault="006728C2" w:rsidP="008105B3">
      <w:pPr>
        <w:pStyle w:val="ListParagraph"/>
        <w:numPr>
          <w:ilvl w:val="1"/>
          <w:numId w:val="21"/>
        </w:numPr>
      </w:pPr>
      <w:r>
        <w:t>At least 75% of project applications follow Housing First</w:t>
      </w:r>
    </w:p>
    <w:p w14:paraId="3FB8BDD6" w14:textId="24AE7392" w:rsidR="006728C2" w:rsidRDefault="006728C2" w:rsidP="008105B3">
      <w:pPr>
        <w:pStyle w:val="ListParagraph"/>
        <w:numPr>
          <w:ilvl w:val="1"/>
          <w:numId w:val="21"/>
        </w:numPr>
      </w:pPr>
      <w:r>
        <w:t>CoC regularly evaluates to ensure that projects are prioritizing rapid placement and not requiring service participation</w:t>
      </w:r>
    </w:p>
    <w:p w14:paraId="2A5FFA56" w14:textId="0CF2386C" w:rsidR="006728C2" w:rsidRPr="003B0CF0" w:rsidRDefault="006728C2" w:rsidP="008105B3">
      <w:pPr>
        <w:pStyle w:val="ListParagraph"/>
        <w:numPr>
          <w:ilvl w:val="2"/>
          <w:numId w:val="21"/>
        </w:numPr>
      </w:pPr>
      <w:r>
        <w:t>Attach example of how CoC evaluates fidelity to Housing First</w:t>
      </w:r>
    </w:p>
    <w:p w14:paraId="3D2DACCE" w14:textId="7D160D33" w:rsidR="00AC6EC9" w:rsidRDefault="006728C2" w:rsidP="00725C1A">
      <w:pPr>
        <w:pStyle w:val="ListParagraph"/>
        <w:numPr>
          <w:ilvl w:val="0"/>
          <w:numId w:val="21"/>
        </w:numPr>
      </w:pPr>
      <w:r>
        <w:t>7 p</w:t>
      </w:r>
      <w:r w:rsidR="00E014FA">
        <w:t>oints for promoting racial equity</w:t>
      </w:r>
    </w:p>
    <w:p w14:paraId="069A35AF" w14:textId="77777777" w:rsidR="00E014FA" w:rsidRPr="003B0CF0" w:rsidRDefault="00E014FA" w:rsidP="00E014FA">
      <w:pPr>
        <w:pStyle w:val="ListParagraph"/>
        <w:numPr>
          <w:ilvl w:val="1"/>
          <w:numId w:val="21"/>
        </w:numPr>
      </w:pPr>
      <w:r>
        <w:t>Review and identify d</w:t>
      </w:r>
      <w:r w:rsidRPr="003B0CF0">
        <w:t>ifferential outcomes based on race</w:t>
      </w:r>
    </w:p>
    <w:p w14:paraId="650A3564" w14:textId="77777777" w:rsidR="00E014FA" w:rsidRPr="003B0CF0" w:rsidRDefault="00E014FA" w:rsidP="00E014FA">
      <w:pPr>
        <w:pStyle w:val="ListParagraph"/>
        <w:numPr>
          <w:ilvl w:val="1"/>
          <w:numId w:val="21"/>
        </w:numPr>
      </w:pPr>
      <w:r w:rsidRPr="003B0CF0">
        <w:t>Review and identify barriers and take steps to eliminate, improving racial equity and addressing disparities</w:t>
      </w:r>
    </w:p>
    <w:p w14:paraId="5FA6BD5B" w14:textId="4705949F" w:rsidR="00E014FA" w:rsidRDefault="00E014FA" w:rsidP="00E014FA">
      <w:pPr>
        <w:pStyle w:val="ListParagraph"/>
        <w:numPr>
          <w:ilvl w:val="1"/>
          <w:numId w:val="21"/>
        </w:numPr>
      </w:pPr>
      <w:r w:rsidRPr="003B0CF0">
        <w:t>Promotion of racial equity throughout CoC polices, procedures and processes</w:t>
      </w:r>
    </w:p>
    <w:p w14:paraId="2DA0EFA8" w14:textId="155FB43A" w:rsidR="006728C2" w:rsidRDefault="006728C2" w:rsidP="008105B3">
      <w:pPr>
        <w:pStyle w:val="ListParagraph"/>
        <w:numPr>
          <w:ilvl w:val="0"/>
          <w:numId w:val="1"/>
        </w:numPr>
      </w:pPr>
      <w:r>
        <w:t>Involving PLE</w:t>
      </w:r>
      <w:r w:rsidR="0095411A">
        <w:t xml:space="preserve">: </w:t>
      </w:r>
      <w:r w:rsidR="0095411A" w:rsidRPr="003B0CF0">
        <w:t>additional emphasis on inclusion of PLE in coordinated entry process</w:t>
      </w:r>
      <w:r w:rsidR="0095411A">
        <w:t xml:space="preserve"> &amp; letter described above</w:t>
      </w:r>
    </w:p>
    <w:p w14:paraId="4286F912" w14:textId="77777777" w:rsidR="006728C2" w:rsidRPr="003B0CF0" w:rsidRDefault="006728C2" w:rsidP="006728C2">
      <w:pPr>
        <w:pStyle w:val="ListParagraph"/>
        <w:numPr>
          <w:ilvl w:val="1"/>
          <w:numId w:val="21"/>
        </w:numPr>
      </w:pPr>
      <w:r w:rsidRPr="003B0CF0">
        <w:t>Engagement in local policies (when revision needed), meetings and committees</w:t>
      </w:r>
    </w:p>
    <w:p w14:paraId="22585175" w14:textId="3C952107" w:rsidR="006728C2" w:rsidRDefault="006728C2" w:rsidP="0095411A">
      <w:pPr>
        <w:pStyle w:val="ListParagraph"/>
        <w:numPr>
          <w:ilvl w:val="1"/>
          <w:numId w:val="21"/>
        </w:numPr>
      </w:pPr>
      <w:r w:rsidRPr="003B0CF0">
        <w:lastRenderedPageBreak/>
        <w:t>Provision of input into decisions and into local competition (rating factors)</w:t>
      </w:r>
    </w:p>
    <w:p w14:paraId="649933A7" w14:textId="132E06C2" w:rsidR="00E014FA" w:rsidRDefault="00E014FA" w:rsidP="00E014FA">
      <w:r w:rsidRPr="008105B3">
        <w:rPr>
          <w:b/>
          <w:bCs/>
        </w:rPr>
        <w:t>Project Review and Ranking Points</w:t>
      </w:r>
      <w:r>
        <w:t xml:space="preserve"> (</w:t>
      </w:r>
      <w:r w:rsidR="0095411A">
        <w:t xml:space="preserve">27 </w:t>
      </w:r>
      <w:r>
        <w:t xml:space="preserve">Total points) </w:t>
      </w:r>
    </w:p>
    <w:p w14:paraId="7436853E" w14:textId="41D4473A" w:rsidR="0095411A" w:rsidRDefault="0095411A" w:rsidP="0095411A">
      <w:pPr>
        <w:pStyle w:val="ListParagraph"/>
        <w:numPr>
          <w:ilvl w:val="0"/>
          <w:numId w:val="1"/>
        </w:numPr>
      </w:pPr>
      <w:r>
        <w:t>4 points for using objective criteria to review projects</w:t>
      </w:r>
    </w:p>
    <w:p w14:paraId="6A674440" w14:textId="33484487" w:rsidR="0095411A" w:rsidRDefault="0095411A" w:rsidP="0095411A">
      <w:pPr>
        <w:pStyle w:val="ListParagraph"/>
        <w:numPr>
          <w:ilvl w:val="0"/>
          <w:numId w:val="1"/>
        </w:numPr>
      </w:pPr>
      <w:r>
        <w:t>9 points based on use of system performance measures in local competition criteria</w:t>
      </w:r>
    </w:p>
    <w:p w14:paraId="6F22A669" w14:textId="72D34228" w:rsidR="0095411A" w:rsidRDefault="0095411A" w:rsidP="0095411A">
      <w:pPr>
        <w:pStyle w:val="ListParagraph"/>
        <w:numPr>
          <w:ilvl w:val="0"/>
          <w:numId w:val="1"/>
        </w:numPr>
      </w:pPr>
      <w:r>
        <w:t>1 point if scoring included use of comparable database by DV providers</w:t>
      </w:r>
    </w:p>
    <w:p w14:paraId="1FE3EB2E" w14:textId="42737635" w:rsidR="0095411A" w:rsidRDefault="0095411A" w:rsidP="0095411A">
      <w:pPr>
        <w:pStyle w:val="ListParagraph"/>
        <w:numPr>
          <w:ilvl w:val="0"/>
          <w:numId w:val="1"/>
        </w:numPr>
      </w:pPr>
      <w:r>
        <w:t>4 points based on how scoring includes CoC analysis of rapid return to permanent housing and how CoC considered severity of barriers when ranking projects</w:t>
      </w:r>
    </w:p>
    <w:p w14:paraId="59A5A412" w14:textId="5C73DFB8" w:rsidR="0095411A" w:rsidRDefault="0095411A" w:rsidP="0095411A">
      <w:pPr>
        <w:pStyle w:val="ListParagraph"/>
        <w:numPr>
          <w:ilvl w:val="0"/>
          <w:numId w:val="1"/>
        </w:numPr>
      </w:pPr>
      <w:r>
        <w:t>3 points for promoting racial equity in local process – ranking includes steps to overcome barriers to participation by applicants; persons of different races are involved in review, selection and ranking; input from different races and ethnicities</w:t>
      </w:r>
    </w:p>
    <w:p w14:paraId="27DFC49A" w14:textId="59D5DDFA" w:rsidR="0095411A" w:rsidRDefault="0095411A" w:rsidP="0095411A">
      <w:pPr>
        <w:pStyle w:val="ListParagraph"/>
        <w:numPr>
          <w:ilvl w:val="0"/>
          <w:numId w:val="1"/>
        </w:numPr>
      </w:pPr>
      <w:r>
        <w:t>3 points for reallocation at least 20% of ARD between FY 2018 and FY 2023 Competitions or d</w:t>
      </w:r>
      <w:r w:rsidRPr="00104CD2">
        <w:t>emonstrat</w:t>
      </w:r>
      <w:r>
        <w:t>ing</w:t>
      </w:r>
      <w:r w:rsidRPr="00104CD2">
        <w:t xml:space="preserve"> CoC actively reviews performance of existing CoC Program-funded projects and has a standard process for reallocating funding from lower performing projects to create new high performing projects</w:t>
      </w:r>
    </w:p>
    <w:p w14:paraId="565D3645" w14:textId="77777777" w:rsidR="00182880" w:rsidRDefault="00182880" w:rsidP="008105B3">
      <w:pPr>
        <w:pStyle w:val="ListParagraph"/>
        <w:numPr>
          <w:ilvl w:val="0"/>
          <w:numId w:val="1"/>
        </w:numPr>
      </w:pPr>
      <w:r>
        <w:t>3 points for public posting and meeting HUD process deadlines</w:t>
      </w:r>
    </w:p>
    <w:p w14:paraId="6B1D84B9" w14:textId="7307D3EC" w:rsidR="00182880" w:rsidRDefault="00182880" w:rsidP="00182880">
      <w:r w:rsidRPr="008105B3">
        <w:rPr>
          <w:b/>
          <w:bCs/>
        </w:rPr>
        <w:t>HMIS</w:t>
      </w:r>
      <w:r>
        <w:t xml:space="preserve"> (Total 9 points) with 4 points for HMIS bed coverage</w:t>
      </w:r>
    </w:p>
    <w:p w14:paraId="3B55F770" w14:textId="465C1944" w:rsidR="00182880" w:rsidRDefault="00182880" w:rsidP="00182880">
      <w:r w:rsidRPr="008105B3">
        <w:rPr>
          <w:b/>
          <w:bCs/>
        </w:rPr>
        <w:t>PIT Count</w:t>
      </w:r>
      <w:r>
        <w:t xml:space="preserve"> (Total 5 points)</w:t>
      </w:r>
    </w:p>
    <w:p w14:paraId="2E830B62" w14:textId="65A1B64F" w:rsidR="00182880" w:rsidRDefault="00182880" w:rsidP="00182880">
      <w:r w:rsidRPr="008105B3">
        <w:rPr>
          <w:b/>
          <w:bCs/>
        </w:rPr>
        <w:t>System Performance</w:t>
      </w:r>
      <w:r>
        <w:t xml:space="preserve"> (Total 60 points)</w:t>
      </w:r>
    </w:p>
    <w:p w14:paraId="7871FED2" w14:textId="67C5F30D" w:rsidR="00182880" w:rsidRDefault="00182880" w:rsidP="00182880">
      <w:pPr>
        <w:pStyle w:val="ListParagraph"/>
        <w:numPr>
          <w:ilvl w:val="0"/>
          <w:numId w:val="23"/>
        </w:numPr>
      </w:pPr>
      <w:r>
        <w:t xml:space="preserve">12 points, reducing homeless families and individuals; </w:t>
      </w:r>
      <w:r w:rsidR="00B16D70">
        <w:t xml:space="preserve">including </w:t>
      </w:r>
      <w:r>
        <w:t>points for reducing numbers of unsheltered by at least 5%</w:t>
      </w:r>
    </w:p>
    <w:p w14:paraId="75107DAC" w14:textId="35155DB2" w:rsidR="00182880" w:rsidRDefault="00182880" w:rsidP="00182880">
      <w:pPr>
        <w:pStyle w:val="ListParagraph"/>
        <w:numPr>
          <w:ilvl w:val="0"/>
          <w:numId w:val="23"/>
        </w:numPr>
      </w:pPr>
      <w:r>
        <w:t>3 points, reduction in first time homeless</w:t>
      </w:r>
    </w:p>
    <w:p w14:paraId="3DE5A31D" w14:textId="5AFB4BD4" w:rsidR="00182880" w:rsidRDefault="00182880" w:rsidP="00182880">
      <w:pPr>
        <w:pStyle w:val="ListParagraph"/>
        <w:numPr>
          <w:ilvl w:val="0"/>
          <w:numId w:val="23"/>
        </w:numPr>
      </w:pPr>
      <w:r>
        <w:t>13 points, reduction in length of time homeless</w:t>
      </w:r>
    </w:p>
    <w:p w14:paraId="70348155" w14:textId="300A2ADE" w:rsidR="00182880" w:rsidRDefault="00182880" w:rsidP="00182880">
      <w:pPr>
        <w:pStyle w:val="ListParagraph"/>
        <w:numPr>
          <w:ilvl w:val="0"/>
          <w:numId w:val="23"/>
        </w:numPr>
      </w:pPr>
      <w:r>
        <w:t>13 points, successful permanent housing placement</w:t>
      </w:r>
      <w:r w:rsidR="00B16D70">
        <w:t>/</w:t>
      </w:r>
      <w:r>
        <w:t>retention</w:t>
      </w:r>
    </w:p>
    <w:p w14:paraId="2B832BAD" w14:textId="65233BF2" w:rsidR="00182880" w:rsidRDefault="00182880" w:rsidP="00182880">
      <w:pPr>
        <w:pStyle w:val="ListParagraph"/>
        <w:numPr>
          <w:ilvl w:val="0"/>
          <w:numId w:val="23"/>
        </w:numPr>
      </w:pPr>
      <w:r>
        <w:t>8 points, returns to homelessness</w:t>
      </w:r>
    </w:p>
    <w:p w14:paraId="36546BA5" w14:textId="131BC97B" w:rsidR="00182880" w:rsidRDefault="00182880" w:rsidP="00182880">
      <w:pPr>
        <w:pStyle w:val="ListParagraph"/>
        <w:numPr>
          <w:ilvl w:val="0"/>
          <w:numId w:val="23"/>
        </w:numPr>
      </w:pPr>
      <w:r>
        <w:t>7 points, jobs and income growth</w:t>
      </w:r>
    </w:p>
    <w:p w14:paraId="447F5FD8" w14:textId="79F4EDE2" w:rsidR="00224CCD" w:rsidRDefault="00224CCD" w:rsidP="00182880">
      <w:pPr>
        <w:pStyle w:val="ListParagraph"/>
        <w:numPr>
          <w:ilvl w:val="0"/>
          <w:numId w:val="23"/>
        </w:numPr>
      </w:pPr>
      <w:r>
        <w:t>4 points, HMIS performance measures</w:t>
      </w:r>
    </w:p>
    <w:p w14:paraId="7416742B" w14:textId="5E29DCEE" w:rsidR="00224CCD" w:rsidRDefault="00224CCD" w:rsidP="00224CCD">
      <w:r w:rsidRPr="008105B3">
        <w:rPr>
          <w:b/>
          <w:bCs/>
        </w:rPr>
        <w:t>Coordination with Housing and Healthcare</w:t>
      </w:r>
      <w:r>
        <w:t xml:space="preserve"> (14 points)</w:t>
      </w:r>
      <w:r w:rsidR="009A7498">
        <w:t xml:space="preserve"> – Unchanged from 2022</w:t>
      </w:r>
    </w:p>
    <w:p w14:paraId="7A364B8C" w14:textId="77777777" w:rsidR="00224CCD" w:rsidRDefault="00224CCD" w:rsidP="00224CCD">
      <w:pPr>
        <w:pStyle w:val="ListParagraph"/>
        <w:numPr>
          <w:ilvl w:val="0"/>
          <w:numId w:val="22"/>
        </w:numPr>
        <w:rPr>
          <w:kern w:val="0"/>
          <w14:ligatures w14:val="none"/>
        </w:rPr>
      </w:pPr>
      <w:r>
        <w:t xml:space="preserve">7 points - </w:t>
      </w:r>
      <w:r w:rsidRPr="00224CCD">
        <w:rPr>
          <w:kern w:val="0"/>
          <w14:ligatures w14:val="none"/>
        </w:rPr>
        <w:t xml:space="preserve">apply for at least one new PSH project or RRH that utilizes housing subsidies or housing units not funded through ESG or CoC </w:t>
      </w:r>
    </w:p>
    <w:p w14:paraId="5A113ABE" w14:textId="7CB96157" w:rsidR="00224CCD" w:rsidRDefault="00224CCD" w:rsidP="00224CCD">
      <w:pPr>
        <w:pStyle w:val="ListParagraph"/>
        <w:numPr>
          <w:ilvl w:val="1"/>
          <w:numId w:val="22"/>
        </w:numPr>
        <w:rPr>
          <w:kern w:val="0"/>
          <w14:ligatures w14:val="none"/>
        </w:rPr>
      </w:pPr>
      <w:r w:rsidRPr="008105B3">
        <w:rPr>
          <w:kern w:val="0"/>
          <w14:ligatures w14:val="none"/>
        </w:rPr>
        <w:t xml:space="preserve">For PSH, at least 25% of units </w:t>
      </w:r>
      <w:r w:rsidR="006C4769">
        <w:rPr>
          <w:kern w:val="0"/>
          <w14:ligatures w14:val="none"/>
        </w:rPr>
        <w:t>subsidized</w:t>
      </w:r>
      <w:r w:rsidRPr="008105B3">
        <w:rPr>
          <w:kern w:val="0"/>
          <w14:ligatures w14:val="none"/>
        </w:rPr>
        <w:t xml:space="preserve"> through </w:t>
      </w:r>
      <w:r w:rsidR="006C4769">
        <w:rPr>
          <w:kern w:val="0"/>
          <w14:ligatures w14:val="none"/>
        </w:rPr>
        <w:t xml:space="preserve">sources other than </w:t>
      </w:r>
      <w:r w:rsidRPr="008105B3">
        <w:rPr>
          <w:kern w:val="0"/>
          <w14:ligatures w14:val="none"/>
        </w:rPr>
        <w:t>CoC or ESG</w:t>
      </w:r>
    </w:p>
    <w:p w14:paraId="594760E4" w14:textId="729F0860" w:rsidR="00224CCD" w:rsidRPr="008105B3" w:rsidRDefault="00224CCD" w:rsidP="008105B3">
      <w:pPr>
        <w:pStyle w:val="ListParagraph"/>
        <w:numPr>
          <w:ilvl w:val="1"/>
          <w:numId w:val="22"/>
        </w:numPr>
        <w:rPr>
          <w:kern w:val="0"/>
          <w14:ligatures w14:val="none"/>
        </w:rPr>
      </w:pPr>
      <w:r w:rsidRPr="008105B3">
        <w:rPr>
          <w:kern w:val="0"/>
          <w14:ligatures w14:val="none"/>
        </w:rPr>
        <w:t>For RRH, non CoC/ESG units serve at least 25% of project participants.</w:t>
      </w:r>
    </w:p>
    <w:p w14:paraId="11146273" w14:textId="2242E1BA" w:rsidR="00224CCD" w:rsidRDefault="00224CCD" w:rsidP="00224CCD">
      <w:pPr>
        <w:pStyle w:val="ListParagraph"/>
        <w:numPr>
          <w:ilvl w:val="0"/>
          <w:numId w:val="22"/>
        </w:numPr>
        <w:rPr>
          <w:kern w:val="0"/>
          <w14:ligatures w14:val="none"/>
        </w:rPr>
      </w:pPr>
      <w:r>
        <w:t xml:space="preserve">7 points - </w:t>
      </w:r>
      <w:r w:rsidRPr="00224CCD">
        <w:rPr>
          <w:kern w:val="0"/>
          <w14:ligatures w14:val="none"/>
        </w:rPr>
        <w:t xml:space="preserve">apply for at least one new PSH or RRH project that uses health care resources to help </w:t>
      </w:r>
      <w:r>
        <w:rPr>
          <w:kern w:val="0"/>
          <w14:ligatures w14:val="none"/>
        </w:rPr>
        <w:t>people experiencing homelessness</w:t>
      </w:r>
    </w:p>
    <w:p w14:paraId="60160123" w14:textId="77777777" w:rsidR="00224CCD" w:rsidRDefault="00224CCD" w:rsidP="00224CCD">
      <w:pPr>
        <w:pStyle w:val="ListParagraph"/>
        <w:numPr>
          <w:ilvl w:val="1"/>
          <w:numId w:val="22"/>
        </w:numPr>
        <w:rPr>
          <w:kern w:val="0"/>
          <w14:ligatures w14:val="none"/>
        </w:rPr>
      </w:pPr>
      <w:r w:rsidRPr="008105B3">
        <w:rPr>
          <w:kern w:val="0"/>
          <w14:ligatures w14:val="none"/>
        </w:rPr>
        <w:t>Substance abuse treatment or recovery provider provides access to treatment/recovery services for all participants who qualify and choose those services; or</w:t>
      </w:r>
    </w:p>
    <w:p w14:paraId="6069C6BB" w14:textId="44D95170" w:rsidR="00224CCD" w:rsidRPr="008105B3" w:rsidRDefault="00224CCD" w:rsidP="008105B3">
      <w:pPr>
        <w:pStyle w:val="ListParagraph"/>
        <w:numPr>
          <w:ilvl w:val="1"/>
          <w:numId w:val="22"/>
        </w:numPr>
        <w:rPr>
          <w:kern w:val="0"/>
          <w14:ligatures w14:val="none"/>
        </w:rPr>
      </w:pPr>
      <w:r w:rsidRPr="008105B3">
        <w:rPr>
          <w:kern w:val="0"/>
          <w14:ligatures w14:val="none"/>
        </w:rPr>
        <w:t>Health care assistance funding covers 25% of the funding being requested for the project</w:t>
      </w:r>
    </w:p>
    <w:p w14:paraId="05DCD177" w14:textId="7799CEB5" w:rsidR="00224CCD" w:rsidRPr="003B0CF0" w:rsidRDefault="00224CCD" w:rsidP="008105B3">
      <w:r>
        <w:lastRenderedPageBreak/>
        <w:t>CoC Merger (up to 25 bonus points; not included in 200 total points)</w:t>
      </w:r>
    </w:p>
    <w:p w14:paraId="26D40A90" w14:textId="250CEB76" w:rsidR="00E71D43" w:rsidRDefault="00E71D43" w:rsidP="008105B3">
      <w:pPr>
        <w:pStyle w:val="Heading2"/>
      </w:pPr>
      <w:r>
        <w:t>Questions</w:t>
      </w:r>
    </w:p>
    <w:p w14:paraId="185369B1" w14:textId="7ACDBD2F" w:rsidR="00161457" w:rsidRDefault="00AF08A1" w:rsidP="00161457">
      <w:pPr>
        <w:pStyle w:val="ListParagraph"/>
        <w:numPr>
          <w:ilvl w:val="0"/>
          <w:numId w:val="11"/>
        </w:numPr>
      </w:pPr>
      <w:r>
        <w:t>Submit q</w:t>
      </w:r>
      <w:r w:rsidR="00161457" w:rsidRPr="003B0CF0">
        <w:t xml:space="preserve">uestions regarding the FY2023 CoC Program Competition to </w:t>
      </w:r>
      <w:hyperlink r:id="rId8" w:history="1">
        <w:r w:rsidR="00161457" w:rsidRPr="003B0CF0">
          <w:rPr>
            <w:rStyle w:val="Hyperlink"/>
          </w:rPr>
          <w:t>CoCNOFO@hud.gov</w:t>
        </w:r>
      </w:hyperlink>
      <w:r w:rsidR="00161457" w:rsidRPr="003B0CF0">
        <w:t>.</w:t>
      </w:r>
    </w:p>
    <w:p w14:paraId="1545B7FB" w14:textId="11535836" w:rsidR="00AF08A1" w:rsidRDefault="00AF08A1" w:rsidP="00AF08A1">
      <w:pPr>
        <w:pStyle w:val="contentpasted0"/>
        <w:numPr>
          <w:ilvl w:val="0"/>
          <w:numId w:val="11"/>
        </w:numPr>
        <w:rPr>
          <w:rFonts w:ascii="Calibri" w:hAnsi="Calibri" w:cs="Calibri"/>
          <w:color w:val="000000"/>
          <w:sz w:val="22"/>
          <w:szCs w:val="22"/>
        </w:rPr>
      </w:pPr>
      <w:r>
        <w:rPr>
          <w:rFonts w:ascii="Calibri" w:hAnsi="Calibri" w:cs="Calibri"/>
          <w:color w:val="000000"/>
          <w:sz w:val="22"/>
          <w:szCs w:val="22"/>
        </w:rPr>
        <w:t>Submit q</w:t>
      </w:r>
      <w:r w:rsidRPr="0069445C">
        <w:rPr>
          <w:rFonts w:ascii="Calibri" w:hAnsi="Calibri" w:cs="Calibri"/>
          <w:color w:val="000000"/>
          <w:sz w:val="22"/>
          <w:szCs w:val="22"/>
        </w:rPr>
        <w:t>uestions about</w:t>
      </w:r>
      <w:r w:rsidRPr="0069445C">
        <w:rPr>
          <w:rStyle w:val="contentpasted01"/>
          <w:rFonts w:ascii="Calibri" w:hAnsi="Calibri" w:cs="Calibri"/>
          <w:color w:val="000000"/>
          <w:sz w:val="22"/>
          <w:szCs w:val="22"/>
        </w:rPr>
        <w:t> </w:t>
      </w:r>
      <w:r w:rsidRPr="0069445C">
        <w:rPr>
          <w:rStyle w:val="Emphasis"/>
          <w:rFonts w:ascii="Calibri" w:hAnsi="Calibri" w:cs="Calibri"/>
          <w:color w:val="000000"/>
          <w:sz w:val="22"/>
          <w:szCs w:val="22"/>
        </w:rPr>
        <w:t>e-snaps</w:t>
      </w:r>
      <w:r w:rsidRPr="0069445C">
        <w:rPr>
          <w:rStyle w:val="contentpasted01"/>
          <w:rFonts w:ascii="Calibri" w:hAnsi="Calibri" w:cs="Calibri"/>
          <w:color w:val="000000"/>
          <w:sz w:val="22"/>
          <w:szCs w:val="22"/>
        </w:rPr>
        <w:t> </w:t>
      </w:r>
      <w:r w:rsidRPr="0069445C">
        <w:rPr>
          <w:rFonts w:ascii="Calibri" w:hAnsi="Calibri" w:cs="Calibri"/>
          <w:color w:val="000000"/>
          <w:sz w:val="22"/>
          <w:szCs w:val="22"/>
        </w:rPr>
        <w:t>technical issues</w:t>
      </w:r>
      <w:r>
        <w:rPr>
          <w:rFonts w:ascii="Calibri" w:hAnsi="Calibri" w:cs="Calibri"/>
          <w:color w:val="000000"/>
          <w:sz w:val="22"/>
          <w:szCs w:val="22"/>
        </w:rPr>
        <w:t xml:space="preserve"> to </w:t>
      </w:r>
      <w:hyperlink r:id="rId9" w:history="1">
        <w:r w:rsidRPr="000F7129">
          <w:rPr>
            <w:rStyle w:val="Hyperlink"/>
            <w:rFonts w:ascii="Calibri" w:hAnsi="Calibri" w:cs="Calibri"/>
            <w:sz w:val="22"/>
            <w:szCs w:val="22"/>
          </w:rPr>
          <w:t>e-snaps@hud.gov</w:t>
        </w:r>
      </w:hyperlink>
    </w:p>
    <w:p w14:paraId="69C269B2" w14:textId="77777777" w:rsidR="00110B8E" w:rsidRPr="003B0CF0" w:rsidRDefault="00110B8E" w:rsidP="0069445C">
      <w:pPr>
        <w:ind w:left="360"/>
      </w:pPr>
    </w:p>
    <w:p w14:paraId="3B9BB1D8" w14:textId="77777777" w:rsidR="00E71D43" w:rsidRPr="00E71D43" w:rsidRDefault="00E71D43" w:rsidP="00E71D43">
      <w:pPr>
        <w:ind w:left="360"/>
      </w:pPr>
    </w:p>
    <w:sectPr w:rsidR="00E71D43" w:rsidRPr="00E71D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C98C" w14:textId="77777777" w:rsidR="00EC286E" w:rsidRDefault="00EC286E" w:rsidP="00E71D43">
      <w:pPr>
        <w:spacing w:after="0" w:line="240" w:lineRule="auto"/>
      </w:pPr>
      <w:r>
        <w:separator/>
      </w:r>
    </w:p>
  </w:endnote>
  <w:endnote w:type="continuationSeparator" w:id="0">
    <w:p w14:paraId="64539FFA" w14:textId="77777777" w:rsidR="00EC286E" w:rsidRDefault="00EC286E" w:rsidP="00E7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68CA" w14:textId="59A16791" w:rsidR="00E71D43" w:rsidRDefault="00E71D43" w:rsidP="00E71D43">
    <w:pPr>
      <w:pStyle w:val="Footer"/>
      <w:tabs>
        <w:tab w:val="clear" w:pos="4680"/>
        <w:tab w:val="clear" w:pos="9360"/>
        <w:tab w:val="left" w:pos="5172"/>
      </w:tabs>
    </w:pPr>
    <w:r>
      <w:rPr>
        <w:noProof/>
        <w:color w:val="4472C4" w:themeColor="accent1"/>
      </w:rPr>
      <mc:AlternateContent>
        <mc:Choice Requires="wps">
          <w:drawing>
            <wp:anchor distT="0" distB="0" distL="114300" distR="114300" simplePos="0" relativeHeight="251659264" behindDoc="0" locked="0" layoutInCell="1" allowOverlap="1" wp14:anchorId="33DC4AE2" wp14:editId="2531972C">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93490F"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noProof/>
      </w:rPr>
      <w:drawing>
        <wp:inline distT="0" distB="0" distL="0" distR="0" wp14:anchorId="4C23D2CC" wp14:editId="571409E9">
          <wp:extent cx="1704975" cy="666750"/>
          <wp:effectExtent l="0" t="0" r="9525" b="0"/>
          <wp:docPr id="135118267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82677"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975" cy="66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F46F" w14:textId="77777777" w:rsidR="00EC286E" w:rsidRDefault="00EC286E" w:rsidP="00E71D43">
      <w:pPr>
        <w:spacing w:after="0" w:line="240" w:lineRule="auto"/>
      </w:pPr>
      <w:r>
        <w:separator/>
      </w:r>
    </w:p>
  </w:footnote>
  <w:footnote w:type="continuationSeparator" w:id="0">
    <w:p w14:paraId="5214532C" w14:textId="77777777" w:rsidR="00EC286E" w:rsidRDefault="00EC286E" w:rsidP="00E71D43">
      <w:pPr>
        <w:spacing w:after="0" w:line="240" w:lineRule="auto"/>
      </w:pPr>
      <w:r>
        <w:continuationSeparator/>
      </w:r>
    </w:p>
  </w:footnote>
  <w:footnote w:id="1">
    <w:p w14:paraId="3BF398FC" w14:textId="109B8B26" w:rsidR="00466F18" w:rsidRDefault="00466F18">
      <w:pPr>
        <w:pStyle w:val="FootnoteText"/>
      </w:pPr>
      <w:r>
        <w:rPr>
          <w:rStyle w:val="FootnoteReference"/>
        </w:rPr>
        <w:footnoteRef/>
      </w:r>
      <w:r>
        <w:t xml:space="preserve"> ARD is the total </w:t>
      </w:r>
      <w:r w:rsidR="00CA30A5">
        <w:t xml:space="preserve">budget amount </w:t>
      </w:r>
      <w:r>
        <w:t xml:space="preserve">of all renewals before any adjustments </w:t>
      </w:r>
    </w:p>
  </w:footnote>
  <w:footnote w:id="2">
    <w:p w14:paraId="0BD87C33" w14:textId="4CBAAEFB" w:rsidR="00466F18" w:rsidRDefault="00466F18">
      <w:pPr>
        <w:pStyle w:val="FootnoteText"/>
      </w:pPr>
      <w:r>
        <w:rPr>
          <w:rStyle w:val="FootnoteReference"/>
        </w:rPr>
        <w:footnoteRef/>
      </w:r>
      <w:r>
        <w:t xml:space="preserve"> ARA is the </w:t>
      </w:r>
      <w:r w:rsidR="00CA30A5">
        <w:t xml:space="preserve">budget </w:t>
      </w:r>
      <w:r>
        <w:t xml:space="preserve">amount </w:t>
      </w:r>
      <w:r w:rsidR="004D3551">
        <w:t xml:space="preserve">a single </w:t>
      </w:r>
      <w:r>
        <w:t>grant can be awarded when renewed</w:t>
      </w:r>
    </w:p>
  </w:footnote>
  <w:footnote w:id="3">
    <w:p w14:paraId="6FE87A93" w14:textId="77777777" w:rsidR="00A3611E" w:rsidRDefault="00A3611E" w:rsidP="00A3611E">
      <w:pPr>
        <w:pStyle w:val="FootnoteText"/>
      </w:pPr>
      <w:r>
        <w:rPr>
          <w:rStyle w:val="FootnoteReference"/>
        </w:rPr>
        <w:footnoteRef/>
      </w:r>
      <w:r>
        <w:t xml:space="preserve"> FPRN is the higher of preliminary pro rata need (PPRN) or ARD</w:t>
      </w:r>
    </w:p>
  </w:footnote>
  <w:footnote w:id="4">
    <w:p w14:paraId="51D848FE" w14:textId="4434023A" w:rsidR="00466F18" w:rsidRDefault="00466F18">
      <w:pPr>
        <w:pStyle w:val="FootnoteText"/>
      </w:pPr>
      <w:r>
        <w:rPr>
          <w:rStyle w:val="FootnoteReference"/>
        </w:rPr>
        <w:footnoteRef/>
      </w:r>
      <w:r>
        <w:t xml:space="preserve"> PPRN is the amount of funds the CoC should receive based on geographic areas included</w:t>
      </w:r>
      <w:r w:rsidR="00CA30A5">
        <w:t xml:space="preserve"> as determined by HUD</w:t>
      </w:r>
    </w:p>
  </w:footnote>
  <w:footnote w:id="5">
    <w:p w14:paraId="2F4E1A7F" w14:textId="77777777" w:rsidR="00144273" w:rsidRDefault="00144273" w:rsidP="00144273">
      <w:pPr>
        <w:pStyle w:val="FootnoteText"/>
      </w:pPr>
      <w:r>
        <w:rPr>
          <w:rStyle w:val="FootnoteReference"/>
        </w:rPr>
        <w:footnoteRef/>
      </w:r>
      <w:r>
        <w:t xml:space="preserve"> See page 5 for info on changes to Category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B2C"/>
    <w:multiLevelType w:val="hybridMultilevel"/>
    <w:tmpl w:val="E954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7A81"/>
    <w:multiLevelType w:val="hybridMultilevel"/>
    <w:tmpl w:val="EB2A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93E81"/>
    <w:multiLevelType w:val="multilevel"/>
    <w:tmpl w:val="337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76138"/>
    <w:multiLevelType w:val="hybridMultilevel"/>
    <w:tmpl w:val="C9C2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0C15"/>
    <w:multiLevelType w:val="hybridMultilevel"/>
    <w:tmpl w:val="729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0475"/>
    <w:multiLevelType w:val="hybridMultilevel"/>
    <w:tmpl w:val="33B0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33D2C"/>
    <w:multiLevelType w:val="hybridMultilevel"/>
    <w:tmpl w:val="1B2A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52DC8"/>
    <w:multiLevelType w:val="hybridMultilevel"/>
    <w:tmpl w:val="1160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144A8"/>
    <w:multiLevelType w:val="hybridMultilevel"/>
    <w:tmpl w:val="27C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7440"/>
    <w:multiLevelType w:val="hybridMultilevel"/>
    <w:tmpl w:val="EC12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E19"/>
    <w:multiLevelType w:val="hybridMultilevel"/>
    <w:tmpl w:val="AC2E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051CA"/>
    <w:multiLevelType w:val="hybridMultilevel"/>
    <w:tmpl w:val="0EC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20D4"/>
    <w:multiLevelType w:val="hybridMultilevel"/>
    <w:tmpl w:val="1C50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35609"/>
    <w:multiLevelType w:val="hybridMultilevel"/>
    <w:tmpl w:val="6AB4DA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4961B8"/>
    <w:multiLevelType w:val="hybridMultilevel"/>
    <w:tmpl w:val="42C6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B5803"/>
    <w:multiLevelType w:val="hybridMultilevel"/>
    <w:tmpl w:val="49FE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93DA9"/>
    <w:multiLevelType w:val="hybridMultilevel"/>
    <w:tmpl w:val="643E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D4195"/>
    <w:multiLevelType w:val="hybridMultilevel"/>
    <w:tmpl w:val="0402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9239C"/>
    <w:multiLevelType w:val="hybridMultilevel"/>
    <w:tmpl w:val="A844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61689"/>
    <w:multiLevelType w:val="hybridMultilevel"/>
    <w:tmpl w:val="8ABA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A7F6C"/>
    <w:multiLevelType w:val="hybridMultilevel"/>
    <w:tmpl w:val="2D5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21E9C"/>
    <w:multiLevelType w:val="hybridMultilevel"/>
    <w:tmpl w:val="FD28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D76C7"/>
    <w:multiLevelType w:val="hybridMultilevel"/>
    <w:tmpl w:val="1CA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422E3"/>
    <w:multiLevelType w:val="hybridMultilevel"/>
    <w:tmpl w:val="2FC62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58C"/>
    <w:multiLevelType w:val="hybridMultilevel"/>
    <w:tmpl w:val="F26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16070">
    <w:abstractNumId w:val="17"/>
  </w:num>
  <w:num w:numId="2" w16cid:durableId="213010286">
    <w:abstractNumId w:val="21"/>
  </w:num>
  <w:num w:numId="3" w16cid:durableId="1373269000">
    <w:abstractNumId w:val="10"/>
  </w:num>
  <w:num w:numId="4" w16cid:durableId="686367094">
    <w:abstractNumId w:val="19"/>
  </w:num>
  <w:num w:numId="5" w16cid:durableId="1573543036">
    <w:abstractNumId w:val="14"/>
  </w:num>
  <w:num w:numId="6" w16cid:durableId="501821242">
    <w:abstractNumId w:val="1"/>
  </w:num>
  <w:num w:numId="7" w16cid:durableId="1391687748">
    <w:abstractNumId w:val="5"/>
  </w:num>
  <w:num w:numId="8" w16cid:durableId="1274289726">
    <w:abstractNumId w:val="15"/>
  </w:num>
  <w:num w:numId="9" w16cid:durableId="637342302">
    <w:abstractNumId w:val="16"/>
  </w:num>
  <w:num w:numId="10" w16cid:durableId="361513570">
    <w:abstractNumId w:val="18"/>
  </w:num>
  <w:num w:numId="11" w16cid:durableId="1275020570">
    <w:abstractNumId w:val="6"/>
  </w:num>
  <w:num w:numId="12" w16cid:durableId="1933665186">
    <w:abstractNumId w:val="0"/>
  </w:num>
  <w:num w:numId="13" w16cid:durableId="86968788">
    <w:abstractNumId w:val="12"/>
  </w:num>
  <w:num w:numId="14" w16cid:durableId="1348828943">
    <w:abstractNumId w:val="13"/>
  </w:num>
  <w:num w:numId="15" w16cid:durableId="1596283590">
    <w:abstractNumId w:val="3"/>
  </w:num>
  <w:num w:numId="16" w16cid:durableId="1686664284">
    <w:abstractNumId w:val="7"/>
  </w:num>
  <w:num w:numId="17" w16cid:durableId="238295450">
    <w:abstractNumId w:val="20"/>
  </w:num>
  <w:num w:numId="18" w16cid:durableId="2027897712">
    <w:abstractNumId w:val="22"/>
  </w:num>
  <w:num w:numId="19" w16cid:durableId="215359353">
    <w:abstractNumId w:val="8"/>
  </w:num>
  <w:num w:numId="20" w16cid:durableId="39209332">
    <w:abstractNumId w:val="4"/>
  </w:num>
  <w:num w:numId="21" w16cid:durableId="1218275719">
    <w:abstractNumId w:val="9"/>
  </w:num>
  <w:num w:numId="22" w16cid:durableId="1994602956">
    <w:abstractNumId w:val="23"/>
  </w:num>
  <w:num w:numId="23" w16cid:durableId="148786057">
    <w:abstractNumId w:val="24"/>
  </w:num>
  <w:num w:numId="24" w16cid:durableId="754789583">
    <w:abstractNumId w:val="11"/>
  </w:num>
  <w:num w:numId="25" w16cid:durableId="170802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06"/>
    <w:rsid w:val="00025928"/>
    <w:rsid w:val="00053DD0"/>
    <w:rsid w:val="00056C05"/>
    <w:rsid w:val="000850F5"/>
    <w:rsid w:val="00090206"/>
    <w:rsid w:val="00091353"/>
    <w:rsid w:val="000C7B0E"/>
    <w:rsid w:val="00107FF5"/>
    <w:rsid w:val="00110B8E"/>
    <w:rsid w:val="00114C6E"/>
    <w:rsid w:val="00127983"/>
    <w:rsid w:val="00136BAB"/>
    <w:rsid w:val="00144273"/>
    <w:rsid w:val="00160433"/>
    <w:rsid w:val="00161457"/>
    <w:rsid w:val="00162F9F"/>
    <w:rsid w:val="001677FE"/>
    <w:rsid w:val="00182880"/>
    <w:rsid w:val="00192033"/>
    <w:rsid w:val="001B1C2F"/>
    <w:rsid w:val="001C1B40"/>
    <w:rsid w:val="001F7DC3"/>
    <w:rsid w:val="0020729F"/>
    <w:rsid w:val="00221BBA"/>
    <w:rsid w:val="00224CCD"/>
    <w:rsid w:val="002266B8"/>
    <w:rsid w:val="002371E6"/>
    <w:rsid w:val="00282A75"/>
    <w:rsid w:val="00285FD3"/>
    <w:rsid w:val="002878F7"/>
    <w:rsid w:val="002A6262"/>
    <w:rsid w:val="002A76CF"/>
    <w:rsid w:val="002E3797"/>
    <w:rsid w:val="002F6389"/>
    <w:rsid w:val="003227A2"/>
    <w:rsid w:val="003318BC"/>
    <w:rsid w:val="003751DD"/>
    <w:rsid w:val="003B0CF0"/>
    <w:rsid w:val="003B7749"/>
    <w:rsid w:val="003C7B51"/>
    <w:rsid w:val="004259F1"/>
    <w:rsid w:val="00426C2A"/>
    <w:rsid w:val="004405AD"/>
    <w:rsid w:val="00441A12"/>
    <w:rsid w:val="00446060"/>
    <w:rsid w:val="00466F18"/>
    <w:rsid w:val="004839D3"/>
    <w:rsid w:val="004C441A"/>
    <w:rsid w:val="004C4A17"/>
    <w:rsid w:val="004D3551"/>
    <w:rsid w:val="005328E1"/>
    <w:rsid w:val="005446EC"/>
    <w:rsid w:val="005522BD"/>
    <w:rsid w:val="00582427"/>
    <w:rsid w:val="005A2690"/>
    <w:rsid w:val="005A6E27"/>
    <w:rsid w:val="005F3E9D"/>
    <w:rsid w:val="0064525F"/>
    <w:rsid w:val="006477E0"/>
    <w:rsid w:val="006728C2"/>
    <w:rsid w:val="00691F15"/>
    <w:rsid w:val="0069445C"/>
    <w:rsid w:val="006A2DBA"/>
    <w:rsid w:val="006B5C2C"/>
    <w:rsid w:val="006C3B00"/>
    <w:rsid w:val="006C4769"/>
    <w:rsid w:val="006D0740"/>
    <w:rsid w:val="006E341E"/>
    <w:rsid w:val="006E34D2"/>
    <w:rsid w:val="00725C1A"/>
    <w:rsid w:val="00732711"/>
    <w:rsid w:val="00791AEC"/>
    <w:rsid w:val="007B2F9C"/>
    <w:rsid w:val="008105B3"/>
    <w:rsid w:val="0082771F"/>
    <w:rsid w:val="00836C0F"/>
    <w:rsid w:val="008433AD"/>
    <w:rsid w:val="0086234E"/>
    <w:rsid w:val="00892907"/>
    <w:rsid w:val="009418F8"/>
    <w:rsid w:val="0095411A"/>
    <w:rsid w:val="0099143C"/>
    <w:rsid w:val="009A7498"/>
    <w:rsid w:val="00A13424"/>
    <w:rsid w:val="00A3611E"/>
    <w:rsid w:val="00A86140"/>
    <w:rsid w:val="00AC6EC9"/>
    <w:rsid w:val="00AF08A1"/>
    <w:rsid w:val="00B16D70"/>
    <w:rsid w:val="00B36F3C"/>
    <w:rsid w:val="00B61E06"/>
    <w:rsid w:val="00BA4E56"/>
    <w:rsid w:val="00BB7E5D"/>
    <w:rsid w:val="00C154AA"/>
    <w:rsid w:val="00C65F2C"/>
    <w:rsid w:val="00C778DE"/>
    <w:rsid w:val="00C95C2C"/>
    <w:rsid w:val="00CA30A5"/>
    <w:rsid w:val="00CB7E11"/>
    <w:rsid w:val="00CD2DF1"/>
    <w:rsid w:val="00CD6719"/>
    <w:rsid w:val="00CF3907"/>
    <w:rsid w:val="00D129A0"/>
    <w:rsid w:val="00D41769"/>
    <w:rsid w:val="00D46CCD"/>
    <w:rsid w:val="00D552C9"/>
    <w:rsid w:val="00D57EE1"/>
    <w:rsid w:val="00D64255"/>
    <w:rsid w:val="00D92C81"/>
    <w:rsid w:val="00DA5843"/>
    <w:rsid w:val="00DC5714"/>
    <w:rsid w:val="00DE6C03"/>
    <w:rsid w:val="00E014FA"/>
    <w:rsid w:val="00E1204E"/>
    <w:rsid w:val="00E20AE9"/>
    <w:rsid w:val="00E2379E"/>
    <w:rsid w:val="00E71D43"/>
    <w:rsid w:val="00E77B2C"/>
    <w:rsid w:val="00E85D3A"/>
    <w:rsid w:val="00E953B5"/>
    <w:rsid w:val="00EC286E"/>
    <w:rsid w:val="00EE188A"/>
    <w:rsid w:val="00EE36E6"/>
    <w:rsid w:val="00F1648B"/>
    <w:rsid w:val="00F70819"/>
    <w:rsid w:val="00FA0C63"/>
    <w:rsid w:val="00FA5C8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97AB"/>
  <w15:chartTrackingRefBased/>
  <w15:docId w15:val="{66A9AA37-E664-45E5-935F-52B97A9A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2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02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2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02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020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90206"/>
    <w:pPr>
      <w:ind w:left="720"/>
      <w:contextualSpacing/>
    </w:pPr>
  </w:style>
  <w:style w:type="paragraph" w:styleId="Header">
    <w:name w:val="header"/>
    <w:basedOn w:val="Normal"/>
    <w:link w:val="HeaderChar"/>
    <w:uiPriority w:val="99"/>
    <w:unhideWhenUsed/>
    <w:rsid w:val="00E7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43"/>
  </w:style>
  <w:style w:type="paragraph" w:styleId="Footer">
    <w:name w:val="footer"/>
    <w:basedOn w:val="Normal"/>
    <w:link w:val="FooterChar"/>
    <w:uiPriority w:val="99"/>
    <w:unhideWhenUsed/>
    <w:rsid w:val="00E7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43"/>
  </w:style>
  <w:style w:type="character" w:styleId="Hyperlink">
    <w:name w:val="Hyperlink"/>
    <w:basedOn w:val="DefaultParagraphFont"/>
    <w:uiPriority w:val="99"/>
    <w:unhideWhenUsed/>
    <w:rsid w:val="00161457"/>
    <w:rPr>
      <w:color w:val="0563C1" w:themeColor="hyperlink"/>
      <w:u w:val="single"/>
    </w:rPr>
  </w:style>
  <w:style w:type="character" w:styleId="UnresolvedMention">
    <w:name w:val="Unresolved Mention"/>
    <w:basedOn w:val="DefaultParagraphFont"/>
    <w:uiPriority w:val="99"/>
    <w:semiHidden/>
    <w:unhideWhenUsed/>
    <w:rsid w:val="00161457"/>
    <w:rPr>
      <w:color w:val="605E5C"/>
      <w:shd w:val="clear" w:color="auto" w:fill="E1DFDD"/>
    </w:rPr>
  </w:style>
  <w:style w:type="paragraph" w:styleId="EndnoteText">
    <w:name w:val="endnote text"/>
    <w:basedOn w:val="Normal"/>
    <w:link w:val="EndnoteTextChar"/>
    <w:uiPriority w:val="99"/>
    <w:semiHidden/>
    <w:unhideWhenUsed/>
    <w:rsid w:val="00466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F18"/>
    <w:rPr>
      <w:sz w:val="20"/>
      <w:szCs w:val="20"/>
    </w:rPr>
  </w:style>
  <w:style w:type="character" w:styleId="EndnoteReference">
    <w:name w:val="endnote reference"/>
    <w:basedOn w:val="DefaultParagraphFont"/>
    <w:uiPriority w:val="99"/>
    <w:semiHidden/>
    <w:unhideWhenUsed/>
    <w:rsid w:val="00466F18"/>
    <w:rPr>
      <w:vertAlign w:val="superscript"/>
    </w:rPr>
  </w:style>
  <w:style w:type="paragraph" w:styleId="FootnoteText">
    <w:name w:val="footnote text"/>
    <w:basedOn w:val="Normal"/>
    <w:link w:val="FootnoteTextChar"/>
    <w:uiPriority w:val="99"/>
    <w:semiHidden/>
    <w:unhideWhenUsed/>
    <w:rsid w:val="00466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F18"/>
    <w:rPr>
      <w:sz w:val="20"/>
      <w:szCs w:val="20"/>
    </w:rPr>
  </w:style>
  <w:style w:type="character" w:styleId="FootnoteReference">
    <w:name w:val="footnote reference"/>
    <w:basedOn w:val="DefaultParagraphFont"/>
    <w:uiPriority w:val="99"/>
    <w:semiHidden/>
    <w:unhideWhenUsed/>
    <w:rsid w:val="00466F18"/>
    <w:rPr>
      <w:vertAlign w:val="superscript"/>
    </w:rPr>
  </w:style>
  <w:style w:type="paragraph" w:styleId="Revision">
    <w:name w:val="Revision"/>
    <w:hidden/>
    <w:uiPriority w:val="99"/>
    <w:semiHidden/>
    <w:rsid w:val="004D3551"/>
    <w:pPr>
      <w:spacing w:after="0" w:line="240" w:lineRule="auto"/>
    </w:pPr>
  </w:style>
  <w:style w:type="character" w:styleId="CommentReference">
    <w:name w:val="annotation reference"/>
    <w:basedOn w:val="DefaultParagraphFont"/>
    <w:uiPriority w:val="99"/>
    <w:semiHidden/>
    <w:unhideWhenUsed/>
    <w:rsid w:val="004D3551"/>
    <w:rPr>
      <w:sz w:val="16"/>
      <w:szCs w:val="16"/>
    </w:rPr>
  </w:style>
  <w:style w:type="paragraph" w:styleId="CommentText">
    <w:name w:val="annotation text"/>
    <w:basedOn w:val="Normal"/>
    <w:link w:val="CommentTextChar"/>
    <w:uiPriority w:val="99"/>
    <w:unhideWhenUsed/>
    <w:rsid w:val="004D3551"/>
    <w:pPr>
      <w:spacing w:line="240" w:lineRule="auto"/>
    </w:pPr>
    <w:rPr>
      <w:sz w:val="20"/>
      <w:szCs w:val="20"/>
    </w:rPr>
  </w:style>
  <w:style w:type="character" w:customStyle="1" w:styleId="CommentTextChar">
    <w:name w:val="Comment Text Char"/>
    <w:basedOn w:val="DefaultParagraphFont"/>
    <w:link w:val="CommentText"/>
    <w:uiPriority w:val="99"/>
    <w:rsid w:val="004D3551"/>
    <w:rPr>
      <w:sz w:val="20"/>
      <w:szCs w:val="20"/>
    </w:rPr>
  </w:style>
  <w:style w:type="paragraph" w:styleId="CommentSubject">
    <w:name w:val="annotation subject"/>
    <w:basedOn w:val="CommentText"/>
    <w:next w:val="CommentText"/>
    <w:link w:val="CommentSubjectChar"/>
    <w:uiPriority w:val="99"/>
    <w:semiHidden/>
    <w:unhideWhenUsed/>
    <w:rsid w:val="004D3551"/>
    <w:rPr>
      <w:b/>
      <w:bCs/>
    </w:rPr>
  </w:style>
  <w:style w:type="character" w:customStyle="1" w:styleId="CommentSubjectChar">
    <w:name w:val="Comment Subject Char"/>
    <w:basedOn w:val="CommentTextChar"/>
    <w:link w:val="CommentSubject"/>
    <w:uiPriority w:val="99"/>
    <w:semiHidden/>
    <w:rsid w:val="004D3551"/>
    <w:rPr>
      <w:b/>
      <w:bCs/>
      <w:sz w:val="20"/>
      <w:szCs w:val="20"/>
    </w:rPr>
  </w:style>
  <w:style w:type="character" w:customStyle="1" w:styleId="cf01">
    <w:name w:val="cf01"/>
    <w:basedOn w:val="DefaultParagraphFont"/>
    <w:rsid w:val="005446EC"/>
    <w:rPr>
      <w:rFonts w:ascii="Segoe UI" w:hAnsi="Segoe UI" w:cs="Segoe UI" w:hint="default"/>
      <w:sz w:val="18"/>
      <w:szCs w:val="18"/>
    </w:rPr>
  </w:style>
  <w:style w:type="paragraph" w:customStyle="1" w:styleId="contentpasted0">
    <w:name w:val="contentpasted0"/>
    <w:basedOn w:val="Normal"/>
    <w:rsid w:val="00AF08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08A1"/>
    <w:rPr>
      <w:i/>
      <w:iCs/>
    </w:rPr>
  </w:style>
  <w:style w:type="character" w:customStyle="1" w:styleId="contentpasted01">
    <w:name w:val="contentpasted01"/>
    <w:basedOn w:val="DefaultParagraphFont"/>
    <w:rsid w:val="00AF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NOFO@hu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naps@hu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999A-2581-4A9F-8BC9-67BCBFA9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2</cp:revision>
  <dcterms:created xsi:type="dcterms:W3CDTF">2023-07-21T14:18:00Z</dcterms:created>
  <dcterms:modified xsi:type="dcterms:W3CDTF">2023-07-21T14:18:00Z</dcterms:modified>
</cp:coreProperties>
</file>