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3303" w14:textId="0B7ADC1E" w:rsidR="000362AD" w:rsidRPr="00927119" w:rsidRDefault="000362AD"/>
    <w:p w14:paraId="2E35285E" w14:textId="77777777" w:rsidR="00927119" w:rsidRDefault="00927119" w:rsidP="00B9466E">
      <w:pPr>
        <w:spacing w:after="160" w:line="259" w:lineRule="auto"/>
        <w:rPr>
          <w:rFonts w:ascii="Calibri" w:eastAsia="Calibri" w:hAnsi="Calibri" w:cs="Times New Roman"/>
          <w:b/>
          <w:bCs/>
          <w:i/>
          <w:iCs/>
          <w:sz w:val="36"/>
          <w:szCs w:val="36"/>
          <w:lang w:val="es-MX"/>
        </w:rPr>
      </w:pPr>
    </w:p>
    <w:p w14:paraId="50752532" w14:textId="77777777" w:rsidR="00927119" w:rsidRDefault="00927119" w:rsidP="00B9466E">
      <w:pPr>
        <w:spacing w:after="160" w:line="259" w:lineRule="auto"/>
        <w:rPr>
          <w:rFonts w:ascii="Calibri" w:eastAsia="Calibri" w:hAnsi="Calibri" w:cs="Times New Roman"/>
          <w:b/>
          <w:bCs/>
          <w:i/>
          <w:iCs/>
          <w:sz w:val="36"/>
          <w:szCs w:val="36"/>
          <w:lang w:val="es-MX"/>
        </w:rPr>
      </w:pPr>
    </w:p>
    <w:p w14:paraId="508292A4" w14:textId="485A6F85" w:rsidR="00B9466E" w:rsidRPr="00927119" w:rsidRDefault="00B9466E" w:rsidP="00927119">
      <w:pPr>
        <w:spacing w:after="160" w:line="259" w:lineRule="auto"/>
        <w:jc w:val="center"/>
        <w:rPr>
          <w:rFonts w:ascii="Calibri" w:eastAsia="Calibri" w:hAnsi="Calibri" w:cs="Times New Roman"/>
          <w:b/>
          <w:bCs/>
          <w:i/>
          <w:iCs/>
          <w:sz w:val="36"/>
          <w:szCs w:val="36"/>
          <w:lang w:val="es-MX"/>
        </w:rPr>
      </w:pPr>
      <w:r w:rsidRPr="00B9466E">
        <w:rPr>
          <w:rFonts w:ascii="Calibri" w:eastAsia="Calibri" w:hAnsi="Calibri" w:cs="Times New Roman"/>
          <w:b/>
          <w:bCs/>
          <w:i/>
          <w:iCs/>
          <w:sz w:val="36"/>
          <w:szCs w:val="36"/>
          <w:lang w:val="es-MX"/>
        </w:rPr>
        <w:t>INFORMACIÓN PARA RESIDENTES ACERCA DEL PLAN DE TRASLADO DE EMERGENCIA DE CT BOS</w:t>
      </w:r>
    </w:p>
    <w:p w14:paraId="0EF8C3A5" w14:textId="60B03552" w:rsidR="00B9466E" w:rsidRPr="00B9466E" w:rsidRDefault="00B9466E" w:rsidP="00B9466E">
      <w:pPr>
        <w:spacing w:after="160" w:line="259" w:lineRule="auto"/>
        <w:rPr>
          <w:rFonts w:ascii="Calibri" w:eastAsia="Calibri" w:hAnsi="Calibri" w:cs="Times New Roman"/>
          <w:lang w:val="es-MX"/>
        </w:rPr>
      </w:pPr>
    </w:p>
    <w:p w14:paraId="01EEDBD6" w14:textId="69C2BDD1" w:rsidR="00927119" w:rsidRDefault="00927119">
      <w:pPr>
        <w:rPr>
          <w:rFonts w:ascii="Calibri" w:eastAsia="Calibri" w:hAnsi="Calibri" w:cs="Times New Roman"/>
          <w:b/>
          <w:bCs/>
          <w:lang w:val="es-MX"/>
        </w:rPr>
      </w:pPr>
      <w:r w:rsidRPr="00B9466E">
        <w:rPr>
          <w:rFonts w:ascii="Calibri" w:eastAsia="Calibri" w:hAnsi="Calibri" w:cs="Times New Roman"/>
          <w:noProof/>
          <w:sz w:val="36"/>
          <w:szCs w:val="36"/>
          <w:lang w:val="es-MX"/>
        </w:rPr>
        <mc:AlternateContent>
          <mc:Choice Requires="wps">
            <w:drawing>
              <wp:anchor distT="0" distB="0" distL="0" distR="0" simplePos="0" relativeHeight="251667456" behindDoc="1" locked="0" layoutInCell="1" allowOverlap="1" wp14:anchorId="21F81691" wp14:editId="6EF8EB04">
                <wp:simplePos x="0" y="0"/>
                <wp:positionH relativeFrom="margin">
                  <wp:align>center</wp:align>
                </wp:positionH>
                <wp:positionV relativeFrom="paragraph">
                  <wp:posOffset>368935</wp:posOffset>
                </wp:positionV>
                <wp:extent cx="6131560" cy="2495550"/>
                <wp:effectExtent l="0" t="0" r="2159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24955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DA438D" w14:textId="77777777" w:rsidR="00B9466E" w:rsidRPr="00927119" w:rsidRDefault="00B9466E" w:rsidP="00B9466E">
                            <w:pPr>
                              <w:spacing w:before="72"/>
                              <w:ind w:left="144" w:right="35"/>
                              <w:rPr>
                                <w:rFonts w:asciiTheme="majorHAnsi" w:hAnsiTheme="majorHAnsi" w:cstheme="majorHAnsi"/>
                                <w:b/>
                                <w:lang w:val="es-MX"/>
                              </w:rPr>
                            </w:pPr>
                            <w:r w:rsidRPr="00927119">
                              <w:rPr>
                                <w:rFonts w:asciiTheme="majorHAnsi" w:hAnsiTheme="majorHAnsi" w:cstheme="majorHAnsi"/>
                                <w:b/>
                                <w:lang w:val="es-MX"/>
                              </w:rPr>
                              <w:t>Instrucciones para los proveedores:  Todas las Redes de Acceso Coordinado y los proyectos financiados por el CoC/ESG deben, en el momento de la solicitud, al inicio del proyecto y en la recertificación anual:</w:t>
                            </w:r>
                          </w:p>
                          <w:p w14:paraId="485E6372" w14:textId="77777777" w:rsidR="00B9466E" w:rsidRPr="00927119" w:rsidRDefault="00B9466E" w:rsidP="00B9466E">
                            <w:pPr>
                              <w:spacing w:before="72"/>
                              <w:ind w:left="144" w:right="35"/>
                              <w:rPr>
                                <w:rFonts w:asciiTheme="majorHAnsi" w:hAnsiTheme="majorHAnsi" w:cstheme="majorHAnsi"/>
                                <w:b/>
                                <w:lang w:val="es-MX"/>
                              </w:rPr>
                            </w:pPr>
                          </w:p>
                          <w:p w14:paraId="6819E37B" w14:textId="77777777" w:rsidR="00B9466E" w:rsidRPr="00927119" w:rsidRDefault="00B9466E" w:rsidP="00B9466E">
                            <w:pPr>
                              <w:pStyle w:val="ListParagraph"/>
                              <w:numPr>
                                <w:ilvl w:val="0"/>
                                <w:numId w:val="11"/>
                              </w:numPr>
                              <w:spacing w:before="72" w:after="160"/>
                              <w:ind w:right="35"/>
                              <w:rPr>
                                <w:rFonts w:asciiTheme="majorHAnsi" w:hAnsiTheme="majorHAnsi" w:cstheme="majorHAnsi"/>
                                <w:bCs/>
                                <w:lang w:val="es-MX"/>
                              </w:rPr>
                            </w:pPr>
                            <w:r w:rsidRPr="00927119">
                              <w:rPr>
                                <w:rFonts w:asciiTheme="majorHAnsi" w:hAnsiTheme="majorHAnsi" w:cstheme="majorHAnsi"/>
                                <w:bCs/>
                                <w:lang w:val="es-MX"/>
                              </w:rPr>
                              <w:t xml:space="preserve">Informar a todas las personas/familias que soliciten o reciban asistencia, de sus derechos en virtud del plan de transferencia de emergencia y del proceso para solicitar una transferencia, independientemente de la condición de sobreviviente de VD conocida, </w:t>
                            </w:r>
                          </w:p>
                          <w:p w14:paraId="4438C212" w14:textId="77777777" w:rsidR="00B9466E" w:rsidRPr="00927119" w:rsidRDefault="00B9466E" w:rsidP="00B9466E">
                            <w:pPr>
                              <w:spacing w:before="72"/>
                              <w:ind w:left="144" w:right="35"/>
                              <w:rPr>
                                <w:rFonts w:asciiTheme="majorHAnsi" w:hAnsiTheme="majorHAnsi" w:cstheme="majorHAnsi"/>
                                <w:bCs/>
                                <w:lang w:val="es-MX"/>
                              </w:rPr>
                            </w:pPr>
                          </w:p>
                          <w:p w14:paraId="507A04F4" w14:textId="77777777" w:rsidR="00B9466E" w:rsidRPr="00927119" w:rsidRDefault="00B9466E" w:rsidP="00B9466E">
                            <w:pPr>
                              <w:pStyle w:val="ListParagraph"/>
                              <w:numPr>
                                <w:ilvl w:val="0"/>
                                <w:numId w:val="11"/>
                              </w:numPr>
                              <w:spacing w:before="72" w:after="160"/>
                              <w:ind w:right="35"/>
                              <w:rPr>
                                <w:rFonts w:asciiTheme="majorHAnsi" w:hAnsiTheme="majorHAnsi" w:cstheme="majorHAnsi"/>
                                <w:b/>
                                <w:lang w:val="es-MX"/>
                              </w:rPr>
                            </w:pPr>
                            <w:r w:rsidRPr="00927119">
                              <w:rPr>
                                <w:rFonts w:asciiTheme="majorHAnsi" w:hAnsiTheme="majorHAnsi" w:cstheme="majorHAnsi"/>
                                <w:bCs/>
                                <w:lang w:val="es-MX"/>
                              </w:rPr>
                              <w:t>Proporcionar un breve aviso fácil de usar que explique claramente los derechos de transferencia de emergencia y el proceso. Este aviso se adjunta a continuación en la siguiente página de este documento</w:t>
                            </w:r>
                            <w:r w:rsidRPr="00927119">
                              <w:rPr>
                                <w:rFonts w:asciiTheme="majorHAnsi" w:hAnsiTheme="majorHAnsi" w:cstheme="majorHAnsi"/>
                                <w:b/>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81691" id="_x0000_t202" coordsize="21600,21600" o:spt="202" path="m,l,21600r21600,l21600,xe">
                <v:stroke joinstyle="miter"/>
                <v:path gradientshapeok="t" o:connecttype="rect"/>
              </v:shapetype>
              <v:shape id="Text Box 4" o:spid="_x0000_s1026" type="#_x0000_t202" style="position:absolute;margin-left:0;margin-top:29.05pt;width:482.8pt;height:196.5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" filled="f" strokeweight=".5pt">
                <v:textbox inset="0,0,0,0">
                  <w:txbxContent>
                    <w:p w14:paraId="58DA438D" w14:textId="77777777" w:rsidR="00B9466E" w:rsidRPr="00927119" w:rsidRDefault="00B9466E" w:rsidP="00B9466E">
                      <w:pPr>
                        <w:spacing w:before="72"/>
                        <w:ind w:left="144" w:right="35"/>
                        <w:rPr>
                          <w:rFonts w:asciiTheme="majorHAnsi" w:hAnsiTheme="majorHAnsi" w:cstheme="majorHAnsi"/>
                          <w:b/>
                          <w:lang w:val="es-MX"/>
                        </w:rPr>
                      </w:pPr>
                      <w:r w:rsidRPr="00927119">
                        <w:rPr>
                          <w:rFonts w:asciiTheme="majorHAnsi" w:hAnsiTheme="majorHAnsi" w:cstheme="majorHAnsi"/>
                          <w:b/>
                          <w:lang w:val="es-MX"/>
                        </w:rPr>
                        <w:t>Instrucciones para los proveedores:  Todas las Redes de Acceso Coordinado y los proyectos financiados por el CoC/ESG deben, en el momento de la solicitud, al inicio del proyecto y en la recertificación anual:</w:t>
                      </w:r>
                    </w:p>
                    <w:p w14:paraId="485E6372" w14:textId="77777777" w:rsidR="00B9466E" w:rsidRPr="00927119" w:rsidRDefault="00B9466E" w:rsidP="00B9466E">
                      <w:pPr>
                        <w:spacing w:before="72"/>
                        <w:ind w:left="144" w:right="35"/>
                        <w:rPr>
                          <w:rFonts w:asciiTheme="majorHAnsi" w:hAnsiTheme="majorHAnsi" w:cstheme="majorHAnsi"/>
                          <w:b/>
                          <w:lang w:val="es-MX"/>
                        </w:rPr>
                      </w:pPr>
                    </w:p>
                    <w:p w14:paraId="6819E37B" w14:textId="77777777" w:rsidR="00B9466E" w:rsidRPr="00927119" w:rsidRDefault="00B9466E" w:rsidP="00B9466E">
                      <w:pPr>
                        <w:pStyle w:val="ListParagraph"/>
                        <w:numPr>
                          <w:ilvl w:val="0"/>
                          <w:numId w:val="11"/>
                        </w:numPr>
                        <w:spacing w:before="72" w:after="160"/>
                        <w:ind w:right="35"/>
                        <w:rPr>
                          <w:rFonts w:asciiTheme="majorHAnsi" w:hAnsiTheme="majorHAnsi" w:cstheme="majorHAnsi"/>
                          <w:bCs/>
                          <w:lang w:val="es-MX"/>
                        </w:rPr>
                      </w:pPr>
                      <w:r w:rsidRPr="00927119">
                        <w:rPr>
                          <w:rFonts w:asciiTheme="majorHAnsi" w:hAnsiTheme="majorHAnsi" w:cstheme="majorHAnsi"/>
                          <w:bCs/>
                          <w:lang w:val="es-MX"/>
                        </w:rPr>
                        <w:t xml:space="preserve">Informar a todas las personas/familias que soliciten o reciban asistencia, de sus derechos en virtud del plan de transferencia de emergencia y del proceso para solicitar una transferencia, independientemente de la condición de sobreviviente de VD conocida, </w:t>
                      </w:r>
                    </w:p>
                    <w:p w14:paraId="4438C212" w14:textId="77777777" w:rsidR="00B9466E" w:rsidRPr="00927119" w:rsidRDefault="00B9466E" w:rsidP="00B9466E">
                      <w:pPr>
                        <w:spacing w:before="72"/>
                        <w:ind w:left="144" w:right="35"/>
                        <w:rPr>
                          <w:rFonts w:asciiTheme="majorHAnsi" w:hAnsiTheme="majorHAnsi" w:cstheme="majorHAnsi"/>
                          <w:bCs/>
                          <w:lang w:val="es-MX"/>
                        </w:rPr>
                      </w:pPr>
                    </w:p>
                    <w:p w14:paraId="507A04F4" w14:textId="77777777" w:rsidR="00B9466E" w:rsidRPr="00927119" w:rsidRDefault="00B9466E" w:rsidP="00B9466E">
                      <w:pPr>
                        <w:pStyle w:val="ListParagraph"/>
                        <w:numPr>
                          <w:ilvl w:val="0"/>
                          <w:numId w:val="11"/>
                        </w:numPr>
                        <w:spacing w:before="72" w:after="160"/>
                        <w:ind w:right="35"/>
                        <w:rPr>
                          <w:rFonts w:asciiTheme="majorHAnsi" w:hAnsiTheme="majorHAnsi" w:cstheme="majorHAnsi"/>
                          <w:b/>
                          <w:lang w:val="es-MX"/>
                        </w:rPr>
                      </w:pPr>
                      <w:r w:rsidRPr="00927119">
                        <w:rPr>
                          <w:rFonts w:asciiTheme="majorHAnsi" w:hAnsiTheme="majorHAnsi" w:cstheme="majorHAnsi"/>
                          <w:bCs/>
                          <w:lang w:val="es-MX"/>
                        </w:rPr>
                        <w:t>Proporcionar un breve aviso fácil de usar que explique claramente los derechos de transferencia de emergencia y el proceso. Este aviso se adjunta a continuación en la siguiente página de este documento</w:t>
                      </w:r>
                      <w:r w:rsidRPr="00927119">
                        <w:rPr>
                          <w:rFonts w:asciiTheme="majorHAnsi" w:hAnsiTheme="majorHAnsi" w:cstheme="majorHAnsi"/>
                          <w:b/>
                          <w:lang w:val="es-MX"/>
                        </w:rPr>
                        <w:t>.</w:t>
                      </w:r>
                    </w:p>
                  </w:txbxContent>
                </v:textbox>
                <w10:wrap type="topAndBottom" anchorx="margin"/>
              </v:shape>
            </w:pict>
          </mc:Fallback>
        </mc:AlternateContent>
      </w:r>
      <w:r>
        <w:rPr>
          <w:rFonts w:ascii="Calibri" w:eastAsia="Calibri" w:hAnsi="Calibri" w:cs="Times New Roman"/>
          <w:b/>
          <w:bCs/>
          <w:lang w:val="es-MX"/>
        </w:rPr>
        <w:br w:type="page"/>
      </w:r>
    </w:p>
    <w:p w14:paraId="787638CD" w14:textId="647BF18F" w:rsidR="00B9466E" w:rsidRPr="00B9466E" w:rsidRDefault="00B9466E" w:rsidP="00B9466E">
      <w:pPr>
        <w:spacing w:after="160" w:line="259" w:lineRule="auto"/>
        <w:jc w:val="center"/>
        <w:rPr>
          <w:rFonts w:ascii="Calibri" w:eastAsia="Calibri" w:hAnsi="Calibri" w:cs="Times New Roman"/>
          <w:b/>
          <w:bCs/>
          <w:lang w:val="es-MX"/>
        </w:rPr>
      </w:pPr>
      <w:r w:rsidRPr="00B9466E">
        <w:rPr>
          <w:rFonts w:ascii="Calibri" w:eastAsia="Calibri" w:hAnsi="Calibri" w:cs="Times New Roman"/>
          <w:b/>
          <w:bCs/>
          <w:lang w:val="es-MX"/>
        </w:rPr>
        <w:lastRenderedPageBreak/>
        <w:t>Información para residentes acerca del Plan de Traslado de Emergencia de CT BOS para Víctimas de Violencia Doméstica, Violencia en el Noviazgo, Agresión Sexual, Acoso o Tráfico de Personas.</w:t>
      </w:r>
    </w:p>
    <w:p w14:paraId="196626E9" w14:textId="720BE3F7" w:rsidR="00B9466E" w:rsidRPr="00B9466E" w:rsidRDefault="0088768D" w:rsidP="00B9466E">
      <w:pPr>
        <w:spacing w:after="160" w:line="259" w:lineRule="auto"/>
        <w:rPr>
          <w:rFonts w:ascii="Calibri" w:eastAsia="Calibri" w:hAnsi="Calibri" w:cs="Times New Roman"/>
          <w:lang w:val="es-MX"/>
        </w:rPr>
      </w:pPr>
      <w:hyperlink r:id="rId7" w:history="1">
        <w:r w:rsidR="00B9466E" w:rsidRPr="0088768D">
          <w:rPr>
            <w:rStyle w:val="Hyperlink"/>
            <w:rFonts w:ascii="Calibri" w:eastAsia="Calibri" w:hAnsi="Calibri" w:cs="Times New Roman"/>
            <w:lang w:val="es-MX"/>
          </w:rPr>
          <w:t>El Plan de Traslado de Emergencia de CT BOS</w:t>
        </w:r>
      </w:hyperlink>
      <w:r w:rsidR="00B9466E" w:rsidRPr="005F6527">
        <w:rPr>
          <w:rFonts w:ascii="Calibri" w:eastAsia="Calibri" w:hAnsi="Calibri" w:cs="Times New Roman"/>
          <w:color w:val="365F91" w:themeColor="accent1" w:themeShade="BF"/>
          <w:lang w:val="es-MX"/>
        </w:rPr>
        <w:t xml:space="preserve"> </w:t>
      </w:r>
      <w:r w:rsidR="00B9466E" w:rsidRPr="00B9466E">
        <w:rPr>
          <w:rFonts w:ascii="Calibri" w:eastAsia="Calibri" w:hAnsi="Calibri" w:cs="Times New Roman"/>
          <w:lang w:val="es-MX"/>
        </w:rPr>
        <w:t>permite a los residentes de residencias de transición, viviendas de apoyo permanente y proyectos de realojamiento rápido que son víctimas de violencia doméstica, violencia en el noviazgo, agresión sexual, acoso o trata de seres humanos, solicitar un traslado de emergencia para cambiarse de apartamento por razones de seguridad. En caso necesario, los proveedores intentarán trabajar con los sobrevivientes para ayudarlos a encontrar formas de costear los gastos de mudanza para los traslados de emergencia.</w:t>
      </w:r>
    </w:p>
    <w:p w14:paraId="7EEF7A21" w14:textId="77777777" w:rsidR="00B9466E" w:rsidRPr="005F6527" w:rsidRDefault="00B9466E" w:rsidP="00B9466E">
      <w:pPr>
        <w:spacing w:after="160" w:line="259" w:lineRule="auto"/>
        <w:jc w:val="center"/>
        <w:rPr>
          <w:rFonts w:ascii="Calibri" w:eastAsia="Calibri" w:hAnsi="Calibri" w:cs="Times New Roman"/>
          <w:b/>
          <w:bCs/>
          <w:u w:val="single"/>
          <w:lang w:val="es-MX"/>
        </w:rPr>
      </w:pPr>
      <w:r w:rsidRPr="005F6527">
        <w:rPr>
          <w:rFonts w:ascii="Calibri" w:eastAsia="Calibri" w:hAnsi="Calibri" w:cs="Times New Roman"/>
          <w:b/>
          <w:bCs/>
          <w:u w:val="single"/>
          <w:lang w:val="es-MX"/>
        </w:rPr>
        <w:t>Resumen del Plan de Traslados de Emergencia de CT BOS:</w:t>
      </w:r>
    </w:p>
    <w:p w14:paraId="57A105FE" w14:textId="035B1709" w:rsidR="00B9466E" w:rsidRPr="00927119" w:rsidRDefault="00B9466E" w:rsidP="00B9466E">
      <w:pPr>
        <w:spacing w:after="160" w:line="259" w:lineRule="auto"/>
        <w:rPr>
          <w:rFonts w:ascii="Calibri" w:eastAsia="Calibri" w:hAnsi="Calibri" w:cs="Times New Roman"/>
          <w:b/>
          <w:bCs/>
          <w:lang w:val="es-MX"/>
        </w:rPr>
      </w:pPr>
      <w:r w:rsidRPr="00B9466E">
        <w:rPr>
          <w:rFonts w:ascii="Calibri" w:eastAsia="Calibri" w:hAnsi="Calibri" w:cs="Times New Roman"/>
          <w:b/>
          <w:bCs/>
          <w:lang w:val="es-MX"/>
        </w:rPr>
        <w:t>¿Quién puede optar a un traslado de emergencia?</w:t>
      </w:r>
    </w:p>
    <w:p w14:paraId="576FC8E6" w14:textId="5C991F9A" w:rsidR="00B9466E" w:rsidRDefault="00B9466E" w:rsidP="00B9466E">
      <w:pPr>
        <w:spacing w:after="160" w:line="259" w:lineRule="auto"/>
        <w:rPr>
          <w:rFonts w:ascii="Calibri" w:eastAsia="Calibri" w:hAnsi="Calibri" w:cs="Times New Roman"/>
          <w:lang w:val="es-MX"/>
        </w:rPr>
      </w:pPr>
      <w:r w:rsidRPr="00B9466E">
        <w:rPr>
          <w:rFonts w:ascii="Calibri" w:eastAsia="Calibri" w:hAnsi="Calibri" w:cs="Times New Roman"/>
          <w:lang w:val="es-MX"/>
        </w:rPr>
        <w:t>Una persona que es víctima de violencia doméstica, violencia en el noviazgo, agresión sexual, acoso o trata de personas reúne los requisitos para un traslado de emergencia si la persona cree razonablemente que recibirá daños pronto como resultado de más violencia si continúa viviendo en su mismo apartamento. Si el residente es víctima de agresión sexual, también se le puede permitir mudarse a otro apartamento si la agresión sexual ocurrió en su apartamento o en la propiedad donde se encuentra su apartamento y dentro de los 3 meses (90 días) antes de pedir un traslado de emergencia.</w:t>
      </w:r>
    </w:p>
    <w:p w14:paraId="767B0168" w14:textId="77777777" w:rsidR="00B9466E" w:rsidRPr="00B9466E" w:rsidRDefault="00B9466E" w:rsidP="00B9466E">
      <w:pPr>
        <w:spacing w:after="160" w:line="259" w:lineRule="auto"/>
        <w:rPr>
          <w:rFonts w:ascii="Calibri" w:eastAsia="Calibri" w:hAnsi="Calibri" w:cs="Times New Roman"/>
          <w:b/>
          <w:bCs/>
          <w:lang w:val="es-MX"/>
        </w:rPr>
      </w:pPr>
      <w:r w:rsidRPr="00B9466E">
        <w:rPr>
          <w:rFonts w:ascii="Calibri" w:eastAsia="Calibri" w:hAnsi="Calibri" w:cs="Times New Roman"/>
          <w:b/>
          <w:bCs/>
          <w:lang w:val="es-MX"/>
        </w:rPr>
        <w:t>¿Cómo se puede solicitar un traslado de emergencia?</w:t>
      </w:r>
    </w:p>
    <w:p w14:paraId="2058CFAC" w14:textId="77777777" w:rsidR="00170308" w:rsidRDefault="00B9466E" w:rsidP="00170308">
      <w:pPr>
        <w:pStyle w:val="ListParagraph"/>
        <w:numPr>
          <w:ilvl w:val="0"/>
          <w:numId w:val="14"/>
        </w:numPr>
        <w:tabs>
          <w:tab w:val="left" w:pos="180"/>
        </w:tabs>
        <w:spacing w:after="160" w:line="259" w:lineRule="auto"/>
        <w:ind w:left="475" w:hanging="187"/>
        <w:rPr>
          <w:rFonts w:ascii="Calibri" w:eastAsia="Calibri" w:hAnsi="Calibri" w:cs="Times New Roman"/>
          <w:b/>
          <w:bCs/>
          <w:lang w:val="es-MX"/>
        </w:rPr>
      </w:pPr>
      <w:r w:rsidRPr="00170308">
        <w:rPr>
          <w:rFonts w:ascii="Calibri" w:eastAsia="Calibri" w:hAnsi="Calibri" w:cs="Times New Roman"/>
          <w:lang w:val="es-MX"/>
        </w:rPr>
        <w:t>Acuda a la oficina de la administración de su compañía proveedora de vivienda y entregue una            solicitud de traslado por escrito. Esa oficina se encuentra aquí</w:t>
      </w:r>
      <w:r w:rsidRPr="00170308">
        <w:rPr>
          <w:rFonts w:ascii="Calibri" w:eastAsia="Calibri" w:hAnsi="Calibri" w:cs="Times New Roman"/>
          <w:b/>
          <w:bCs/>
          <w:lang w:val="es-MX"/>
        </w:rPr>
        <w:t xml:space="preserve">: </w:t>
      </w:r>
      <w:r w:rsidRPr="00170308">
        <w:rPr>
          <w:rFonts w:ascii="Calibri" w:eastAsia="Calibri" w:hAnsi="Calibri" w:cs="Times New Roman"/>
          <w:b/>
          <w:bCs/>
          <w:highlight w:val="yellow"/>
          <w:lang w:val="es-MX"/>
        </w:rPr>
        <w:t>(INSERTE LA DIRECCIÓN DE CADA PROYECTO CUBIERTO</w:t>
      </w:r>
      <w:r w:rsidR="0088768D" w:rsidRPr="00170308">
        <w:rPr>
          <w:rFonts w:ascii="Calibri" w:eastAsia="Calibri" w:hAnsi="Calibri" w:cs="Times New Roman"/>
          <w:b/>
          <w:bCs/>
          <w:highlight w:val="yellow"/>
          <w:lang w:val="es-MX"/>
        </w:rPr>
        <w:t xml:space="preserve"> – </w:t>
      </w:r>
      <w:proofErr w:type="spellStart"/>
      <w:r w:rsidR="0088768D" w:rsidRPr="00170308">
        <w:rPr>
          <w:rFonts w:ascii="Calibri" w:eastAsia="Calibri" w:hAnsi="Calibri" w:cs="Times New Roman"/>
          <w:b/>
          <w:bCs/>
          <w:highlight w:val="yellow"/>
          <w:lang w:val="es-MX"/>
        </w:rPr>
        <w:t>Insert</w:t>
      </w:r>
      <w:proofErr w:type="spellEnd"/>
      <w:r w:rsidR="0088768D" w:rsidRPr="00170308">
        <w:rPr>
          <w:rFonts w:ascii="Calibri" w:eastAsia="Calibri" w:hAnsi="Calibri" w:cs="Times New Roman"/>
          <w:b/>
          <w:bCs/>
          <w:highlight w:val="yellow"/>
          <w:lang w:val="es-MX"/>
        </w:rPr>
        <w:t xml:space="preserve"> </w:t>
      </w:r>
      <w:proofErr w:type="spellStart"/>
      <w:r w:rsidR="0088768D" w:rsidRPr="00170308">
        <w:rPr>
          <w:rFonts w:ascii="Calibri" w:eastAsia="Calibri" w:hAnsi="Calibri" w:cs="Times New Roman"/>
          <w:b/>
          <w:bCs/>
          <w:highlight w:val="yellow"/>
          <w:lang w:val="es-MX"/>
        </w:rPr>
        <w:t>address</w:t>
      </w:r>
      <w:proofErr w:type="spellEnd"/>
      <w:r w:rsidR="0088768D" w:rsidRPr="00170308">
        <w:rPr>
          <w:rFonts w:ascii="Calibri" w:eastAsia="Calibri" w:hAnsi="Calibri" w:cs="Times New Roman"/>
          <w:b/>
          <w:bCs/>
          <w:highlight w:val="yellow"/>
          <w:lang w:val="es-MX"/>
        </w:rPr>
        <w:t xml:space="preserve"> </w:t>
      </w:r>
      <w:proofErr w:type="spellStart"/>
      <w:r w:rsidR="0088768D" w:rsidRPr="00170308">
        <w:rPr>
          <w:rFonts w:ascii="Calibri" w:eastAsia="Calibri" w:hAnsi="Calibri" w:cs="Times New Roman"/>
          <w:b/>
          <w:bCs/>
          <w:highlight w:val="yellow"/>
          <w:lang w:val="es-MX"/>
        </w:rPr>
        <w:t>for</w:t>
      </w:r>
      <w:proofErr w:type="spellEnd"/>
      <w:r w:rsidR="0088768D" w:rsidRPr="00170308">
        <w:rPr>
          <w:rFonts w:ascii="Calibri" w:eastAsia="Calibri" w:hAnsi="Calibri" w:cs="Times New Roman"/>
          <w:b/>
          <w:bCs/>
          <w:highlight w:val="yellow"/>
          <w:lang w:val="es-MX"/>
        </w:rPr>
        <w:t xml:space="preserve"> </w:t>
      </w:r>
      <w:proofErr w:type="spellStart"/>
      <w:r w:rsidR="0088768D" w:rsidRPr="00170308">
        <w:rPr>
          <w:rFonts w:ascii="Calibri" w:eastAsia="Calibri" w:hAnsi="Calibri" w:cs="Times New Roman"/>
          <w:b/>
          <w:bCs/>
          <w:highlight w:val="yellow"/>
          <w:lang w:val="es-MX"/>
        </w:rPr>
        <w:t>each</w:t>
      </w:r>
      <w:proofErr w:type="spellEnd"/>
      <w:r w:rsidR="0088768D" w:rsidRPr="00170308">
        <w:rPr>
          <w:rFonts w:ascii="Calibri" w:eastAsia="Calibri" w:hAnsi="Calibri" w:cs="Times New Roman"/>
          <w:b/>
          <w:bCs/>
          <w:highlight w:val="yellow"/>
          <w:lang w:val="es-MX"/>
        </w:rPr>
        <w:t xml:space="preserve"> </w:t>
      </w:r>
      <w:proofErr w:type="spellStart"/>
      <w:r w:rsidR="0088768D" w:rsidRPr="00170308">
        <w:rPr>
          <w:rFonts w:ascii="Calibri" w:eastAsia="Calibri" w:hAnsi="Calibri" w:cs="Times New Roman"/>
          <w:b/>
          <w:bCs/>
          <w:highlight w:val="yellow"/>
          <w:lang w:val="es-MX"/>
        </w:rPr>
        <w:t>covered</w:t>
      </w:r>
      <w:proofErr w:type="spellEnd"/>
      <w:r w:rsidR="0088768D" w:rsidRPr="00170308">
        <w:rPr>
          <w:rFonts w:ascii="Calibri" w:eastAsia="Calibri" w:hAnsi="Calibri" w:cs="Times New Roman"/>
          <w:b/>
          <w:bCs/>
          <w:highlight w:val="yellow"/>
          <w:lang w:val="es-MX"/>
        </w:rPr>
        <w:t xml:space="preserve"> </w:t>
      </w:r>
      <w:proofErr w:type="spellStart"/>
      <w:r w:rsidR="0088768D" w:rsidRPr="00170308">
        <w:rPr>
          <w:rFonts w:ascii="Calibri" w:eastAsia="Calibri" w:hAnsi="Calibri" w:cs="Times New Roman"/>
          <w:b/>
          <w:bCs/>
          <w:highlight w:val="yellow"/>
          <w:lang w:val="es-MX"/>
        </w:rPr>
        <w:t>project</w:t>
      </w:r>
      <w:proofErr w:type="spellEnd"/>
      <w:r w:rsidRPr="00170308">
        <w:rPr>
          <w:rFonts w:ascii="Calibri" w:eastAsia="Calibri" w:hAnsi="Calibri" w:cs="Times New Roman"/>
          <w:b/>
          <w:bCs/>
          <w:highlight w:val="yellow"/>
          <w:lang w:val="es-MX"/>
        </w:rPr>
        <w:t>)</w:t>
      </w:r>
    </w:p>
    <w:p w14:paraId="64926823" w14:textId="3A5D176F" w:rsidR="00B9466E" w:rsidRPr="00170308" w:rsidRDefault="00B9466E" w:rsidP="00170308">
      <w:pPr>
        <w:pStyle w:val="ListParagraph"/>
        <w:numPr>
          <w:ilvl w:val="0"/>
          <w:numId w:val="14"/>
        </w:numPr>
        <w:tabs>
          <w:tab w:val="left" w:pos="180"/>
        </w:tabs>
        <w:spacing w:after="160" w:line="259" w:lineRule="auto"/>
        <w:ind w:left="475" w:hanging="187"/>
        <w:rPr>
          <w:rFonts w:ascii="Calibri" w:eastAsia="Calibri" w:hAnsi="Calibri" w:cs="Times New Roman"/>
          <w:b/>
          <w:bCs/>
          <w:lang w:val="es-MX"/>
        </w:rPr>
      </w:pPr>
      <w:r w:rsidRPr="00170308">
        <w:rPr>
          <w:rFonts w:ascii="Calibri" w:eastAsia="Calibri" w:hAnsi="Calibri" w:cs="Times New Roman"/>
          <w:lang w:val="es-MX"/>
        </w:rPr>
        <w:t>Si necesita ayuda para hacer una solicitud de traslado de emergencia, póngase en contacto con la persona que se indica a continuación:</w:t>
      </w:r>
    </w:p>
    <w:p w14:paraId="5FB1FB87" w14:textId="622FCD9C" w:rsidR="00B9466E" w:rsidRPr="00621CC7" w:rsidRDefault="00B9466E" w:rsidP="00170308">
      <w:pPr>
        <w:tabs>
          <w:tab w:val="left" w:pos="180"/>
        </w:tabs>
        <w:spacing w:after="160" w:line="259" w:lineRule="auto"/>
        <w:ind w:left="475" w:hanging="187"/>
        <w:rPr>
          <w:rFonts w:ascii="Calibri" w:eastAsia="Calibri" w:hAnsi="Calibri" w:cs="Times New Roman"/>
          <w:highlight w:val="yellow"/>
          <w:lang w:val="es-MX"/>
        </w:rPr>
      </w:pPr>
      <w:r w:rsidRPr="00621CC7">
        <w:rPr>
          <w:rFonts w:ascii="Calibri" w:eastAsia="Calibri" w:hAnsi="Calibri" w:cs="Times New Roman"/>
          <w:highlight w:val="yellow"/>
          <w:lang w:val="es-MX"/>
        </w:rPr>
        <w:t xml:space="preserve">Nombre del empleado: </w:t>
      </w:r>
      <w:r w:rsidR="0088768D">
        <w:rPr>
          <w:rFonts w:ascii="Calibri" w:eastAsia="Calibri" w:hAnsi="Calibri" w:cs="Times New Roman"/>
          <w:highlight w:val="yellow"/>
          <w:u w:val="single"/>
          <w:lang w:val="es-MX"/>
        </w:rPr>
        <w:tab/>
      </w:r>
      <w:r w:rsidRPr="00621CC7">
        <w:rPr>
          <w:rFonts w:ascii="Calibri" w:eastAsia="Calibri" w:hAnsi="Calibri" w:cs="Times New Roman"/>
          <w:highlight w:val="yellow"/>
          <w:lang w:val="es-MX"/>
        </w:rPr>
        <w:t>____________________Número de teléfono: __</w:t>
      </w:r>
      <w:r w:rsidR="0088768D">
        <w:rPr>
          <w:rFonts w:ascii="Calibri" w:eastAsia="Calibri" w:hAnsi="Calibri" w:cs="Times New Roman"/>
          <w:highlight w:val="yellow"/>
          <w:u w:val="single"/>
          <w:lang w:val="es-MX"/>
        </w:rPr>
        <w:tab/>
      </w:r>
      <w:r w:rsidR="0088768D">
        <w:rPr>
          <w:rFonts w:ascii="Calibri" w:eastAsia="Calibri" w:hAnsi="Calibri" w:cs="Times New Roman"/>
          <w:highlight w:val="yellow"/>
          <w:u w:val="single"/>
          <w:lang w:val="es-MX"/>
        </w:rPr>
        <w:tab/>
      </w:r>
      <w:r w:rsidRPr="00621CC7">
        <w:rPr>
          <w:rFonts w:ascii="Calibri" w:eastAsia="Calibri" w:hAnsi="Calibri" w:cs="Times New Roman"/>
          <w:highlight w:val="yellow"/>
          <w:lang w:val="es-MX"/>
        </w:rPr>
        <w:t>______</w:t>
      </w:r>
    </w:p>
    <w:p w14:paraId="2E3D9B02" w14:textId="77777777" w:rsidR="00B9466E" w:rsidRPr="00B9466E" w:rsidRDefault="00B9466E" w:rsidP="00170308">
      <w:pPr>
        <w:tabs>
          <w:tab w:val="left" w:pos="180"/>
        </w:tabs>
        <w:spacing w:after="160" w:line="259" w:lineRule="auto"/>
        <w:ind w:left="475" w:hanging="187"/>
        <w:rPr>
          <w:rFonts w:ascii="Calibri" w:eastAsia="Calibri" w:hAnsi="Calibri" w:cs="Times New Roman"/>
          <w:lang w:val="es-MX"/>
        </w:rPr>
      </w:pPr>
      <w:r w:rsidRPr="00621CC7">
        <w:rPr>
          <w:rFonts w:ascii="Calibri" w:eastAsia="Calibri" w:hAnsi="Calibri" w:cs="Times New Roman"/>
          <w:highlight w:val="yellow"/>
          <w:lang w:val="es-MX"/>
        </w:rPr>
        <w:t>Dirección de correo electrónico: _________________________________</w:t>
      </w:r>
      <w:r w:rsidRPr="00B9466E">
        <w:rPr>
          <w:rFonts w:ascii="Calibri" w:eastAsia="Calibri" w:hAnsi="Calibri" w:cs="Times New Roman"/>
          <w:lang w:val="es-MX"/>
        </w:rPr>
        <w:tab/>
      </w:r>
    </w:p>
    <w:p w14:paraId="23856D21" w14:textId="7DE6CFF1" w:rsidR="00170308" w:rsidRPr="00170308" w:rsidRDefault="00B9466E" w:rsidP="00170308">
      <w:pPr>
        <w:pStyle w:val="ListParagraph"/>
        <w:numPr>
          <w:ilvl w:val="0"/>
          <w:numId w:val="15"/>
        </w:numPr>
        <w:tabs>
          <w:tab w:val="left" w:pos="180"/>
        </w:tabs>
        <w:spacing w:after="160" w:line="259" w:lineRule="auto"/>
        <w:ind w:left="475" w:hanging="187"/>
        <w:rPr>
          <w:rFonts w:ascii="Calibri" w:eastAsia="Calibri" w:hAnsi="Calibri" w:cs="Times New Roman"/>
          <w:lang w:val="es-MX"/>
        </w:rPr>
      </w:pPr>
      <w:r w:rsidRPr="00170308">
        <w:rPr>
          <w:rFonts w:ascii="Calibri" w:eastAsia="Calibri" w:hAnsi="Calibri" w:cs="Times New Roman"/>
          <w:lang w:val="es-MX"/>
        </w:rPr>
        <w:t>Incluya en su solicitud escrita de transferencia de emergencia cualquiera de los siguientes datos:</w:t>
      </w:r>
    </w:p>
    <w:p w14:paraId="4C12DC6D" w14:textId="77777777" w:rsidR="00170308" w:rsidRDefault="00B9466E" w:rsidP="00170308">
      <w:pPr>
        <w:pStyle w:val="ListParagraph"/>
        <w:numPr>
          <w:ilvl w:val="0"/>
          <w:numId w:val="13"/>
        </w:numPr>
        <w:tabs>
          <w:tab w:val="left" w:pos="180"/>
        </w:tabs>
        <w:spacing w:after="160" w:line="259" w:lineRule="auto"/>
        <w:rPr>
          <w:rFonts w:ascii="Calibri" w:eastAsia="Calibri" w:hAnsi="Calibri" w:cs="Times New Roman"/>
          <w:lang w:val="es-MX"/>
        </w:rPr>
      </w:pPr>
      <w:r w:rsidRPr="00170308">
        <w:rPr>
          <w:rFonts w:ascii="Calibri" w:eastAsia="Calibri" w:hAnsi="Calibri" w:cs="Times New Roman"/>
          <w:lang w:val="es-MX"/>
        </w:rPr>
        <w:t>Una declaración en la que diga que cree razonablemente que existe una amenaza inminente de sufrir daños por más violencia si permanece en el mismo apartamento en el que vive actualmente; O bien</w:t>
      </w:r>
    </w:p>
    <w:p w14:paraId="144336CA" w14:textId="152BCAE1" w:rsidR="00B9466E" w:rsidRPr="00170308" w:rsidRDefault="00B9466E" w:rsidP="00170308">
      <w:pPr>
        <w:pStyle w:val="ListParagraph"/>
        <w:numPr>
          <w:ilvl w:val="0"/>
          <w:numId w:val="13"/>
        </w:numPr>
        <w:tabs>
          <w:tab w:val="left" w:pos="180"/>
        </w:tabs>
        <w:spacing w:after="160" w:line="259" w:lineRule="auto"/>
        <w:rPr>
          <w:rFonts w:ascii="Calibri" w:eastAsia="Calibri" w:hAnsi="Calibri" w:cs="Times New Roman"/>
          <w:lang w:val="es-MX"/>
        </w:rPr>
      </w:pPr>
      <w:r w:rsidRPr="00170308">
        <w:rPr>
          <w:rFonts w:ascii="Calibri" w:eastAsia="Calibri" w:hAnsi="Calibri" w:cs="Times New Roman"/>
          <w:lang w:val="es-MX"/>
        </w:rPr>
        <w:t>Una declaración diciendo que usted fue víctima de agresión sexual y que la agresión sexual ocurrió en su apartamento o en la propiedad donde se encuentra su apartamento en el transcurso de los 3 meses (90 días) anteriores a que el residente solicitara un traslado de emergencia.</w:t>
      </w:r>
    </w:p>
    <w:p w14:paraId="71998DB7" w14:textId="77777777" w:rsidR="00B9466E" w:rsidRPr="00B9466E" w:rsidRDefault="00B9466E" w:rsidP="00B9466E">
      <w:pPr>
        <w:spacing w:after="160" w:line="259" w:lineRule="auto"/>
        <w:ind w:left="720" w:hanging="360"/>
        <w:rPr>
          <w:rFonts w:ascii="Calibri" w:eastAsia="Calibri" w:hAnsi="Calibri" w:cs="Times New Roman"/>
          <w:b/>
          <w:bCs/>
          <w:lang w:val="es-MX"/>
        </w:rPr>
      </w:pPr>
      <w:r w:rsidRPr="00B9466E">
        <w:rPr>
          <w:rFonts w:ascii="Calibri" w:eastAsia="Calibri" w:hAnsi="Calibri" w:cs="Times New Roman"/>
          <w:b/>
          <w:bCs/>
          <w:lang w:val="es-MX"/>
        </w:rPr>
        <w:t>Confidencialidad</w:t>
      </w:r>
    </w:p>
    <w:p w14:paraId="2ADE9760" w14:textId="77777777" w:rsidR="00B9466E" w:rsidRPr="00B9466E" w:rsidRDefault="00B9466E" w:rsidP="00170308">
      <w:pPr>
        <w:numPr>
          <w:ilvl w:val="0"/>
          <w:numId w:val="12"/>
        </w:numPr>
        <w:tabs>
          <w:tab w:val="left" w:pos="810"/>
        </w:tabs>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t>El proveedor de vivienda no compartirá ninguna información acerca del traslado de emergencia</w:t>
      </w:r>
    </w:p>
    <w:p w14:paraId="3861F4F3" w14:textId="77777777" w:rsidR="00B9466E" w:rsidRPr="00B9466E" w:rsidRDefault="00B9466E" w:rsidP="00170308">
      <w:p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t xml:space="preserve">         sin el permiso del residente, a menos que la ley lo exija.</w:t>
      </w:r>
    </w:p>
    <w:p w14:paraId="20FED529" w14:textId="77777777" w:rsidR="00B9466E" w:rsidRPr="00B9466E" w:rsidRDefault="00B9466E" w:rsidP="00170308">
      <w:pPr>
        <w:numPr>
          <w:ilvl w:val="0"/>
          <w:numId w:val="12"/>
        </w:num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t>Esto incluye mantener confidencial la nueva dirección del residente de la persona o personas que cometieron la violencia, agresión sexual o acoso.</w:t>
      </w:r>
    </w:p>
    <w:p w14:paraId="6B44594A" w14:textId="77777777" w:rsidR="00B9466E" w:rsidRPr="00B9466E" w:rsidRDefault="00B9466E" w:rsidP="00B9466E">
      <w:pPr>
        <w:spacing w:after="160" w:line="259" w:lineRule="auto"/>
        <w:ind w:left="810" w:hanging="450"/>
        <w:rPr>
          <w:rFonts w:ascii="Calibri" w:eastAsia="Calibri" w:hAnsi="Calibri" w:cs="Times New Roman"/>
          <w:b/>
          <w:bCs/>
          <w:lang w:val="es-MX"/>
        </w:rPr>
      </w:pPr>
      <w:r w:rsidRPr="00B9466E">
        <w:rPr>
          <w:rFonts w:ascii="Calibri" w:eastAsia="Calibri" w:hAnsi="Calibri" w:cs="Times New Roman"/>
          <w:b/>
          <w:bCs/>
          <w:lang w:val="es-MX"/>
        </w:rPr>
        <w:t>Tiempo y disponibilidad de la transferencia de emergencia</w:t>
      </w:r>
    </w:p>
    <w:p w14:paraId="38224C17" w14:textId="77777777" w:rsidR="00B9466E" w:rsidRPr="00B9466E" w:rsidRDefault="00B9466E" w:rsidP="00170308">
      <w:pPr>
        <w:numPr>
          <w:ilvl w:val="0"/>
          <w:numId w:val="12"/>
        </w:num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lastRenderedPageBreak/>
        <w:t>El proveedor de vivienda está obligado a actuar lo más rápidamente posible para transferir al residente. El CoC de CT BOS no puede garantizar la aprobación de una solicitud de traslado ni el tiempo que se tardará en tramitarla.</w:t>
      </w:r>
    </w:p>
    <w:p w14:paraId="16CDF0E4" w14:textId="77777777" w:rsidR="00B9466E" w:rsidRPr="00B9466E" w:rsidRDefault="00B9466E" w:rsidP="00170308">
      <w:pPr>
        <w:numPr>
          <w:ilvl w:val="0"/>
          <w:numId w:val="12"/>
        </w:num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t>Si un residente cree que un nuevo apartamento al que podría trasladarse no le sería seguro, el residente puede solicitar un apartamento o una colonia diferente.</w:t>
      </w:r>
    </w:p>
    <w:p w14:paraId="759F08D5" w14:textId="77777777" w:rsidR="00B9466E" w:rsidRPr="00B9466E" w:rsidRDefault="00B9466E" w:rsidP="00170308">
      <w:pPr>
        <w:numPr>
          <w:ilvl w:val="0"/>
          <w:numId w:val="12"/>
        </w:num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t xml:space="preserve"> Es posible que el proveedor de vivienda no pueda trasladar a un residente a un apartamento determinado si el residente no reúne los requisitos para ese apartamento.</w:t>
      </w:r>
    </w:p>
    <w:p w14:paraId="7122C172" w14:textId="77777777" w:rsidR="00B9466E" w:rsidRPr="00B9466E" w:rsidRDefault="00B9466E" w:rsidP="00170308">
      <w:pPr>
        <w:numPr>
          <w:ilvl w:val="0"/>
          <w:numId w:val="12"/>
        </w:num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t xml:space="preserve"> Si el proveedor de vivienda no tiene unidades seguras y disponibles para un residente, remitirá al residente al 2-1-1 y la Red de Acceso Coordinado (CAN) local ayudará a encontrar otros proveedores de vivienda que puedan tener unidades seguras y disponibles a las que podrían mudarse.</w:t>
      </w:r>
    </w:p>
    <w:p w14:paraId="5D642C2C" w14:textId="77777777" w:rsidR="00B9466E" w:rsidRPr="00B9466E" w:rsidRDefault="00B9466E" w:rsidP="00170308">
      <w:pPr>
        <w:numPr>
          <w:ilvl w:val="0"/>
          <w:numId w:val="12"/>
        </w:num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lang w:val="es-MX"/>
        </w:rPr>
        <w:t xml:space="preserve"> Los participantes en el programa que hayan cumplido todos los requisitos del programa y que crean que están amenazados de daño pueden seguir recibiendo la ayuda para el alquiler y trasladarse al condado de Fairfield, CT o a un estado diferente. Este tipo de traslado puede requerir documentación adicional.</w:t>
      </w:r>
    </w:p>
    <w:p w14:paraId="66FF7444" w14:textId="5D94CC18" w:rsidR="00B9466E" w:rsidRPr="00B9466E" w:rsidRDefault="00170308" w:rsidP="00170308">
      <w:pPr>
        <w:numPr>
          <w:ilvl w:val="0"/>
          <w:numId w:val="12"/>
        </w:numPr>
        <w:spacing w:after="160" w:line="259" w:lineRule="auto"/>
        <w:ind w:left="475" w:hanging="187"/>
        <w:contextualSpacing/>
        <w:rPr>
          <w:rFonts w:ascii="Calibri" w:eastAsia="Calibri" w:hAnsi="Calibri" w:cs="Times New Roman"/>
          <w:lang w:val="es-MX"/>
        </w:rPr>
      </w:pPr>
      <w:r w:rsidRPr="00B9466E">
        <w:rPr>
          <w:rFonts w:ascii="Calibri" w:eastAsia="Calibri" w:hAnsi="Calibri" w:cs="Times New Roman"/>
          <w:noProof/>
          <w:lang w:val="es-MX"/>
        </w:rPr>
        <mc:AlternateContent>
          <mc:Choice Requires="wps">
            <w:drawing>
              <wp:anchor distT="0" distB="0" distL="0" distR="0" simplePos="0" relativeHeight="251668480" behindDoc="1" locked="0" layoutInCell="1" allowOverlap="1" wp14:anchorId="52E9CF14" wp14:editId="5E6797A1">
                <wp:simplePos x="0" y="0"/>
                <wp:positionH relativeFrom="margin">
                  <wp:align>right</wp:align>
                </wp:positionH>
                <wp:positionV relativeFrom="paragraph">
                  <wp:posOffset>729615</wp:posOffset>
                </wp:positionV>
                <wp:extent cx="6381750" cy="83820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38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D42FCB" w14:textId="7D904DE3" w:rsidR="00B9466E" w:rsidRPr="00927119" w:rsidRDefault="00B9466E" w:rsidP="00B9466E">
                            <w:pPr>
                              <w:spacing w:before="1"/>
                              <w:ind w:left="218" w:right="200"/>
                              <w:jc w:val="center"/>
                              <w:rPr>
                                <w:rFonts w:asciiTheme="majorHAnsi" w:hAnsiTheme="majorHAnsi" w:cstheme="majorHAnsi"/>
                                <w:b/>
                                <w:color w:val="0070C0"/>
                                <w:lang w:val="es-MX"/>
                              </w:rPr>
                            </w:pPr>
                            <w:r w:rsidRPr="00927119">
                              <w:rPr>
                                <w:rFonts w:asciiTheme="majorHAnsi" w:hAnsiTheme="majorHAnsi" w:cstheme="majorHAnsi"/>
                                <w:b/>
                                <w:lang w:val="es-MX"/>
                              </w:rPr>
                              <w:t xml:space="preserve">Los servicios de la línea directa </w:t>
                            </w:r>
                            <w:proofErr w:type="spellStart"/>
                            <w:r w:rsidRPr="00927119">
                              <w:rPr>
                                <w:rFonts w:asciiTheme="majorHAnsi" w:hAnsiTheme="majorHAnsi" w:cstheme="majorHAnsi"/>
                                <w:b/>
                                <w:lang w:val="es-MX"/>
                              </w:rPr>
                              <w:t>Safe</w:t>
                            </w:r>
                            <w:proofErr w:type="spellEnd"/>
                            <w:r w:rsidRPr="00927119">
                              <w:rPr>
                                <w:rFonts w:asciiTheme="majorHAnsi" w:hAnsiTheme="majorHAnsi" w:cstheme="majorHAnsi"/>
                                <w:b/>
                                <w:lang w:val="es-MX"/>
                              </w:rPr>
                              <w:t xml:space="preserve"> </w:t>
                            </w:r>
                            <w:proofErr w:type="spellStart"/>
                            <w:r w:rsidRPr="00927119">
                              <w:rPr>
                                <w:rFonts w:asciiTheme="majorHAnsi" w:hAnsiTheme="majorHAnsi" w:cstheme="majorHAnsi"/>
                                <w:b/>
                                <w:lang w:val="es-MX"/>
                              </w:rPr>
                              <w:t>Connect</w:t>
                            </w:r>
                            <w:proofErr w:type="spellEnd"/>
                            <w:r w:rsidRPr="00927119">
                              <w:rPr>
                                <w:rFonts w:asciiTheme="majorHAnsi" w:hAnsiTheme="majorHAnsi" w:cstheme="majorHAnsi"/>
                                <w:b/>
                                <w:lang w:val="es-MX"/>
                              </w:rPr>
                              <w:t xml:space="preserve"> de CCADV están disponibles 24 horas al día, 7 días a la semana, por teléfono o mensaje de texto en el 888-774-2900 o por chat en </w:t>
                            </w:r>
                            <w:hyperlink r:id="rId8" w:history="1">
                              <w:r w:rsidRPr="00927119">
                                <w:rPr>
                                  <w:rStyle w:val="Hyperlink"/>
                                  <w:rFonts w:asciiTheme="majorHAnsi" w:hAnsiTheme="majorHAnsi" w:cstheme="majorHAnsi"/>
                                  <w:b/>
                                  <w:lang w:val="es-MX"/>
                                </w:rPr>
                                <w:t>https://ctsafeconnect.com</w:t>
                              </w:r>
                            </w:hyperlink>
                            <w:r w:rsidRPr="00927119">
                              <w:rPr>
                                <w:rFonts w:asciiTheme="majorHAnsi" w:hAnsiTheme="majorHAnsi" w:cstheme="majorHAnsi"/>
                                <w:b/>
                                <w:color w:val="0070C0"/>
                                <w:lang w:val="es-MX"/>
                              </w:rPr>
                              <w:t>.</w:t>
                            </w:r>
                          </w:p>
                          <w:p w14:paraId="24090ADB" w14:textId="77777777" w:rsidR="0088768D" w:rsidRPr="00927119" w:rsidRDefault="0088768D" w:rsidP="00B9466E">
                            <w:pPr>
                              <w:spacing w:before="1"/>
                              <w:ind w:left="218" w:right="200"/>
                              <w:jc w:val="center"/>
                              <w:rPr>
                                <w:rFonts w:asciiTheme="majorHAnsi" w:hAnsiTheme="majorHAnsi" w:cstheme="majorHAnsi"/>
                                <w:b/>
                                <w:color w:val="365F91" w:themeColor="accent1" w:themeShade="BF"/>
                                <w:lang w:val="es-MX"/>
                              </w:rPr>
                            </w:pPr>
                          </w:p>
                          <w:p w14:paraId="033A4EA0" w14:textId="77777777" w:rsidR="00B9466E" w:rsidRPr="00927119" w:rsidRDefault="00B9466E" w:rsidP="00B9466E">
                            <w:pPr>
                              <w:spacing w:before="1"/>
                              <w:ind w:left="218" w:right="200"/>
                              <w:jc w:val="center"/>
                              <w:rPr>
                                <w:rFonts w:asciiTheme="majorHAnsi" w:hAnsiTheme="majorHAnsi" w:cstheme="majorHAnsi"/>
                                <w:b/>
                                <w:lang w:val="es-MX"/>
                              </w:rPr>
                            </w:pPr>
                            <w:r w:rsidRPr="00927119">
                              <w:rPr>
                                <w:rFonts w:asciiTheme="majorHAnsi" w:hAnsiTheme="majorHAnsi" w:cstheme="majorHAnsi"/>
                                <w:b/>
                                <w:lang w:val="es-MX"/>
                              </w:rPr>
                              <w:t>Los servicios están disponibles en diferentes idiomas y puedes mantenerse anónimo.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9CF14" id="Text Box 5" o:spid="_x0000_s1027" type="#_x0000_t202" style="position:absolute;left:0;text-align:left;margin-left:451.3pt;margin-top:57.45pt;width:502.5pt;height:66pt;z-index:-2516480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" filled="f" strokeweight=".48pt">
                <v:textbox inset="0,0,0,0">
                  <w:txbxContent>
                    <w:p w14:paraId="4CD42FCB" w14:textId="7D904DE3" w:rsidR="00B9466E" w:rsidRPr="00927119" w:rsidRDefault="00B9466E" w:rsidP="00B9466E">
                      <w:pPr>
                        <w:spacing w:before="1"/>
                        <w:ind w:left="218" w:right="200"/>
                        <w:jc w:val="center"/>
                        <w:rPr>
                          <w:rFonts w:asciiTheme="majorHAnsi" w:hAnsiTheme="majorHAnsi" w:cstheme="majorHAnsi"/>
                          <w:b/>
                          <w:color w:val="0070C0"/>
                          <w:lang w:val="es-MX"/>
                        </w:rPr>
                      </w:pPr>
                      <w:r w:rsidRPr="00927119">
                        <w:rPr>
                          <w:rFonts w:asciiTheme="majorHAnsi" w:hAnsiTheme="majorHAnsi" w:cstheme="majorHAnsi"/>
                          <w:b/>
                          <w:lang w:val="es-MX"/>
                        </w:rPr>
                        <w:t xml:space="preserve">Los servicios de la línea directa </w:t>
                      </w:r>
                      <w:proofErr w:type="spellStart"/>
                      <w:r w:rsidRPr="00927119">
                        <w:rPr>
                          <w:rFonts w:asciiTheme="majorHAnsi" w:hAnsiTheme="majorHAnsi" w:cstheme="majorHAnsi"/>
                          <w:b/>
                          <w:lang w:val="es-MX"/>
                        </w:rPr>
                        <w:t>Safe</w:t>
                      </w:r>
                      <w:proofErr w:type="spellEnd"/>
                      <w:r w:rsidRPr="00927119">
                        <w:rPr>
                          <w:rFonts w:asciiTheme="majorHAnsi" w:hAnsiTheme="majorHAnsi" w:cstheme="majorHAnsi"/>
                          <w:b/>
                          <w:lang w:val="es-MX"/>
                        </w:rPr>
                        <w:t xml:space="preserve"> </w:t>
                      </w:r>
                      <w:proofErr w:type="spellStart"/>
                      <w:r w:rsidRPr="00927119">
                        <w:rPr>
                          <w:rFonts w:asciiTheme="majorHAnsi" w:hAnsiTheme="majorHAnsi" w:cstheme="majorHAnsi"/>
                          <w:b/>
                          <w:lang w:val="es-MX"/>
                        </w:rPr>
                        <w:t>Connect</w:t>
                      </w:r>
                      <w:proofErr w:type="spellEnd"/>
                      <w:r w:rsidRPr="00927119">
                        <w:rPr>
                          <w:rFonts w:asciiTheme="majorHAnsi" w:hAnsiTheme="majorHAnsi" w:cstheme="majorHAnsi"/>
                          <w:b/>
                          <w:lang w:val="es-MX"/>
                        </w:rPr>
                        <w:t xml:space="preserve"> de CCADV están disponibles 24 horas al día, 7 días a la semana, por teléfono o mensaje de texto en el 888-774-2900 o por chat en </w:t>
                      </w:r>
                      <w:hyperlink r:id="rId9" w:history="1">
                        <w:r w:rsidRPr="00927119">
                          <w:rPr>
                            <w:rStyle w:val="Hyperlink"/>
                            <w:rFonts w:asciiTheme="majorHAnsi" w:hAnsiTheme="majorHAnsi" w:cstheme="majorHAnsi"/>
                            <w:b/>
                            <w:lang w:val="es-MX"/>
                          </w:rPr>
                          <w:t>https://ctsafeconnect.com</w:t>
                        </w:r>
                      </w:hyperlink>
                      <w:r w:rsidRPr="00927119">
                        <w:rPr>
                          <w:rFonts w:asciiTheme="majorHAnsi" w:hAnsiTheme="majorHAnsi" w:cstheme="majorHAnsi"/>
                          <w:b/>
                          <w:color w:val="0070C0"/>
                          <w:lang w:val="es-MX"/>
                        </w:rPr>
                        <w:t>.</w:t>
                      </w:r>
                    </w:p>
                    <w:p w14:paraId="24090ADB" w14:textId="77777777" w:rsidR="0088768D" w:rsidRPr="00927119" w:rsidRDefault="0088768D" w:rsidP="00B9466E">
                      <w:pPr>
                        <w:spacing w:before="1"/>
                        <w:ind w:left="218" w:right="200"/>
                        <w:jc w:val="center"/>
                        <w:rPr>
                          <w:rFonts w:asciiTheme="majorHAnsi" w:hAnsiTheme="majorHAnsi" w:cstheme="majorHAnsi"/>
                          <w:b/>
                          <w:color w:val="365F91" w:themeColor="accent1" w:themeShade="BF"/>
                          <w:lang w:val="es-MX"/>
                        </w:rPr>
                      </w:pPr>
                    </w:p>
                    <w:p w14:paraId="033A4EA0" w14:textId="77777777" w:rsidR="00B9466E" w:rsidRPr="00927119" w:rsidRDefault="00B9466E" w:rsidP="00B9466E">
                      <w:pPr>
                        <w:spacing w:before="1"/>
                        <w:ind w:left="218" w:right="200"/>
                        <w:jc w:val="center"/>
                        <w:rPr>
                          <w:rFonts w:asciiTheme="majorHAnsi" w:hAnsiTheme="majorHAnsi" w:cstheme="majorHAnsi"/>
                          <w:b/>
                          <w:lang w:val="es-MX"/>
                        </w:rPr>
                      </w:pPr>
                      <w:r w:rsidRPr="00927119">
                        <w:rPr>
                          <w:rFonts w:asciiTheme="majorHAnsi" w:hAnsiTheme="majorHAnsi" w:cstheme="majorHAnsi"/>
                          <w:b/>
                          <w:lang w:val="es-MX"/>
                        </w:rPr>
                        <w:t>Los servicios están disponibles en diferentes idiomas y puedes mantenerse anónimo.</w:t>
                      </w:r>
                    </w:p>
                  </w:txbxContent>
                </v:textbox>
                <w10:wrap type="topAndBottom" anchorx="margin"/>
              </v:shape>
            </w:pict>
          </mc:Fallback>
        </mc:AlternateContent>
      </w:r>
      <w:r w:rsidR="00B9466E" w:rsidRPr="00B9466E">
        <w:rPr>
          <w:rFonts w:ascii="Calibri" w:eastAsia="Calibri" w:hAnsi="Calibri" w:cs="Times New Roman"/>
          <w:lang w:val="es-MX"/>
        </w:rPr>
        <w:t>A petición del residente, el proveedor de vivienda también ayudará a los residentes a ponerse en contacto con la Coalición contra la Violencia Doméstica de CT (CCADV), la organización estatal que ayuda a los sobrevivientes de violencia doméstica, violencia en el noviazgo, agresión sexual, acoso o trata de personas.</w:t>
      </w:r>
    </w:p>
    <w:p w14:paraId="5E3226E7" w14:textId="0CA6298D" w:rsidR="00927119" w:rsidRDefault="00927119" w:rsidP="00767D9F">
      <w:pPr>
        <w:widowControl w:val="0"/>
        <w:spacing w:line="240" w:lineRule="auto"/>
        <w:ind w:right="74"/>
        <w:rPr>
          <w:rFonts w:asciiTheme="majorHAnsi" w:eastAsia="Times New Roman" w:hAnsiTheme="majorHAnsi" w:cstheme="majorHAnsi"/>
          <w:b/>
          <w:bCs/>
          <w:color w:val="000000"/>
          <w:lang w:val="es-MX"/>
        </w:rPr>
      </w:pPr>
    </w:p>
    <w:p w14:paraId="7F2FC962" w14:textId="7E258CDA" w:rsidR="00767D9F" w:rsidRPr="00767D9F" w:rsidRDefault="00767D9F" w:rsidP="00767D9F">
      <w:pPr>
        <w:widowControl w:val="0"/>
        <w:spacing w:line="240" w:lineRule="auto"/>
        <w:ind w:right="74"/>
        <w:rPr>
          <w:rFonts w:asciiTheme="majorHAnsi" w:eastAsia="Times New Roman" w:hAnsiTheme="majorHAnsi" w:cstheme="majorHAnsi"/>
          <w:b/>
          <w:bCs/>
          <w:color w:val="000000"/>
          <w:lang w:val="es-MX"/>
        </w:rPr>
      </w:pPr>
      <w:r w:rsidRPr="00767D9F">
        <w:rPr>
          <w:rFonts w:asciiTheme="majorHAnsi" w:eastAsia="Times New Roman" w:hAnsiTheme="majorHAnsi" w:cstheme="majorHAnsi"/>
          <w:b/>
          <w:bCs/>
          <w:color w:val="000000"/>
          <w:lang w:val="es-MX"/>
        </w:rPr>
        <w:t xml:space="preserve">Miembros de la </w:t>
      </w:r>
      <w:r>
        <w:rPr>
          <w:rFonts w:asciiTheme="majorHAnsi" w:eastAsia="Times New Roman" w:hAnsiTheme="majorHAnsi" w:cstheme="majorHAnsi"/>
          <w:b/>
          <w:bCs/>
          <w:color w:val="000000"/>
          <w:lang w:val="es-MX"/>
        </w:rPr>
        <w:t xml:space="preserve">Familia </w:t>
      </w:r>
      <w:r w:rsidRPr="00767D9F">
        <w:rPr>
          <w:rFonts w:asciiTheme="majorHAnsi" w:eastAsia="Times New Roman" w:hAnsiTheme="majorHAnsi" w:cstheme="majorHAnsi"/>
          <w:b/>
          <w:bCs/>
          <w:color w:val="000000"/>
          <w:lang w:val="es-MX"/>
        </w:rPr>
        <w:t xml:space="preserve">no se </w:t>
      </w:r>
      <w:r>
        <w:rPr>
          <w:rFonts w:asciiTheme="majorHAnsi" w:eastAsia="Times New Roman" w:hAnsiTheme="majorHAnsi" w:cstheme="majorHAnsi"/>
          <w:b/>
          <w:bCs/>
          <w:color w:val="000000"/>
          <w:lang w:val="es-MX"/>
        </w:rPr>
        <w:t>T</w:t>
      </w:r>
      <w:r w:rsidRPr="00767D9F">
        <w:rPr>
          <w:rFonts w:asciiTheme="majorHAnsi" w:eastAsia="Times New Roman" w:hAnsiTheme="majorHAnsi" w:cstheme="majorHAnsi"/>
          <w:b/>
          <w:bCs/>
          <w:color w:val="000000"/>
          <w:lang w:val="es-MX"/>
        </w:rPr>
        <w:t>rasladan</w:t>
      </w:r>
    </w:p>
    <w:p w14:paraId="284400F9" w14:textId="5E2FCB8A" w:rsidR="00767D9F" w:rsidRPr="00767D9F" w:rsidRDefault="00767D9F" w:rsidP="00767D9F">
      <w:pPr>
        <w:widowControl w:val="0"/>
        <w:spacing w:line="240" w:lineRule="auto"/>
        <w:ind w:right="74"/>
        <w:rPr>
          <w:rFonts w:asciiTheme="majorHAnsi" w:eastAsia="Times New Roman" w:hAnsiTheme="majorHAnsi" w:cstheme="majorHAnsi"/>
          <w:color w:val="000000"/>
          <w:lang w:val="es-MX"/>
        </w:rPr>
      </w:pPr>
      <w:r w:rsidRPr="00767D9F">
        <w:rPr>
          <w:rFonts w:asciiTheme="majorHAnsi" w:eastAsia="Times New Roman" w:hAnsiTheme="majorHAnsi" w:cstheme="majorHAnsi"/>
          <w:color w:val="000000"/>
          <w:lang w:val="es-MX"/>
        </w:rPr>
        <w:t>Si la familia se separa por un traslado de emergencia, y la persona que abandona el apartamento era la persona que</w:t>
      </w:r>
      <w:r w:rsidR="00621CC7">
        <w:rPr>
          <w:rFonts w:asciiTheme="majorHAnsi" w:eastAsia="Times New Roman" w:hAnsiTheme="majorHAnsi" w:cstheme="majorHAnsi"/>
          <w:color w:val="000000"/>
          <w:lang w:val="es-MX"/>
        </w:rPr>
        <w:t xml:space="preserve"> </w:t>
      </w:r>
      <w:r w:rsidRPr="00767D9F">
        <w:rPr>
          <w:rFonts w:asciiTheme="majorHAnsi" w:eastAsia="Times New Roman" w:hAnsiTheme="majorHAnsi" w:cstheme="majorHAnsi"/>
          <w:color w:val="000000"/>
          <w:lang w:val="es-MX"/>
        </w:rPr>
        <w:t xml:space="preserve">calificó a la familia para recibir asistencia, entonces el proveedor de vivienda debe dar al resto de los miembros de la familia que viven </w:t>
      </w:r>
      <w:r w:rsidR="00621CC7" w:rsidRPr="00767D9F">
        <w:rPr>
          <w:rFonts w:asciiTheme="majorHAnsi" w:eastAsia="Times New Roman" w:hAnsiTheme="majorHAnsi" w:cstheme="majorHAnsi"/>
          <w:color w:val="000000"/>
          <w:lang w:val="es-MX"/>
        </w:rPr>
        <w:t>ahí</w:t>
      </w:r>
      <w:r w:rsidRPr="00767D9F">
        <w:rPr>
          <w:rFonts w:asciiTheme="majorHAnsi" w:eastAsia="Times New Roman" w:hAnsiTheme="majorHAnsi" w:cstheme="majorHAnsi"/>
          <w:color w:val="000000"/>
          <w:lang w:val="es-MX"/>
        </w:rPr>
        <w:t xml:space="preserve">, tiempo (hasta que expire el contrato de arrendamiento del apartamento) para establecer su elegibilidad para permanecer en el apartamento o encontrar un lugar donde vivir. </w:t>
      </w:r>
    </w:p>
    <w:p w14:paraId="3F2139B9" w14:textId="264F9DA3" w:rsidR="00767D9F" w:rsidRDefault="00767D9F" w:rsidP="00767D9F">
      <w:pPr>
        <w:widowControl w:val="0"/>
        <w:spacing w:line="240" w:lineRule="auto"/>
        <w:ind w:right="74"/>
        <w:rPr>
          <w:rFonts w:asciiTheme="majorHAnsi" w:eastAsia="Times New Roman" w:hAnsiTheme="majorHAnsi" w:cstheme="majorHAnsi"/>
          <w:color w:val="000000"/>
          <w:lang w:val="es-MX"/>
        </w:rPr>
      </w:pPr>
      <w:r w:rsidRPr="00767D9F">
        <w:rPr>
          <w:rFonts w:asciiTheme="majorHAnsi" w:eastAsia="Times New Roman" w:hAnsiTheme="majorHAnsi" w:cstheme="majorHAnsi"/>
          <w:color w:val="000000"/>
          <w:lang w:val="es-MX"/>
        </w:rPr>
        <w:t>Todos los proveedores de viviendas, excepto los que reciben fondos del programa CoC, deben proporcionar al resto de miembros de la familia</w:t>
      </w:r>
      <w:r w:rsidR="00621CC7">
        <w:rPr>
          <w:rFonts w:asciiTheme="majorHAnsi" w:eastAsia="Times New Roman" w:hAnsiTheme="majorHAnsi" w:cstheme="majorHAnsi"/>
          <w:color w:val="000000"/>
          <w:lang w:val="es-MX"/>
        </w:rPr>
        <w:t xml:space="preserve"> </w:t>
      </w:r>
      <w:r w:rsidRPr="00767D9F">
        <w:rPr>
          <w:rFonts w:asciiTheme="majorHAnsi" w:eastAsia="Times New Roman" w:hAnsiTheme="majorHAnsi" w:cstheme="majorHAnsi"/>
          <w:color w:val="000000"/>
          <w:lang w:val="es-MX"/>
        </w:rPr>
        <w:t xml:space="preserve">miembros de la familia al menos 3 meses (90 días) o hasta que expire el contrato de </w:t>
      </w:r>
      <w:r w:rsidR="00621CC7">
        <w:rPr>
          <w:rFonts w:asciiTheme="majorHAnsi" w:eastAsia="Times New Roman" w:hAnsiTheme="majorHAnsi" w:cstheme="majorHAnsi"/>
          <w:color w:val="000000"/>
          <w:lang w:val="es-MX"/>
        </w:rPr>
        <w:t>renta</w:t>
      </w:r>
      <w:r w:rsidRPr="00767D9F">
        <w:rPr>
          <w:rFonts w:asciiTheme="majorHAnsi" w:eastAsia="Times New Roman" w:hAnsiTheme="majorHAnsi" w:cstheme="majorHAnsi"/>
          <w:color w:val="000000"/>
          <w:lang w:val="es-MX"/>
        </w:rPr>
        <w:t xml:space="preserve"> una posible </w:t>
      </w:r>
      <w:r w:rsidR="00621CC7">
        <w:rPr>
          <w:rFonts w:asciiTheme="majorHAnsi" w:eastAsia="Times New Roman" w:hAnsiTheme="majorHAnsi" w:cstheme="majorHAnsi"/>
          <w:color w:val="000000"/>
          <w:lang w:val="es-MX"/>
        </w:rPr>
        <w:t xml:space="preserve">extensión </w:t>
      </w:r>
      <w:r w:rsidRPr="00767D9F">
        <w:rPr>
          <w:rFonts w:asciiTheme="majorHAnsi" w:eastAsia="Times New Roman" w:hAnsiTheme="majorHAnsi" w:cstheme="majorHAnsi"/>
          <w:color w:val="000000"/>
          <w:lang w:val="es-MX"/>
        </w:rPr>
        <w:t xml:space="preserve">de 60 días para </w:t>
      </w:r>
      <w:r w:rsidR="00621CC7">
        <w:rPr>
          <w:rFonts w:asciiTheme="majorHAnsi" w:eastAsia="Times New Roman" w:hAnsiTheme="majorHAnsi" w:cstheme="majorHAnsi"/>
          <w:color w:val="000000"/>
          <w:lang w:val="es-MX"/>
        </w:rPr>
        <w:t>determinar</w:t>
      </w:r>
      <w:r w:rsidRPr="00767D9F">
        <w:rPr>
          <w:rFonts w:asciiTheme="majorHAnsi" w:eastAsia="Times New Roman" w:hAnsiTheme="majorHAnsi" w:cstheme="majorHAnsi"/>
          <w:color w:val="000000"/>
          <w:lang w:val="es-MX"/>
        </w:rPr>
        <w:t xml:space="preserve"> si</w:t>
      </w:r>
      <w:r w:rsidR="00621CC7">
        <w:rPr>
          <w:rFonts w:asciiTheme="majorHAnsi" w:eastAsia="Times New Roman" w:hAnsiTheme="majorHAnsi" w:cstheme="majorHAnsi"/>
          <w:color w:val="000000"/>
          <w:lang w:val="es-MX"/>
        </w:rPr>
        <w:t xml:space="preserve"> </w:t>
      </w:r>
      <w:r w:rsidRPr="00767D9F">
        <w:rPr>
          <w:rFonts w:asciiTheme="majorHAnsi" w:eastAsia="Times New Roman" w:hAnsiTheme="majorHAnsi" w:cstheme="majorHAnsi"/>
          <w:color w:val="000000"/>
          <w:lang w:val="es-MX"/>
        </w:rPr>
        <w:t xml:space="preserve">son elegibles para el programa, establecer la elegibilidad para otro programa o encontrar otro lugar para vivir. Todos los proyectos financiados por el CoC deben proporcionar a los miembros restantes de la familia hasta el final del contrato de </w:t>
      </w:r>
      <w:r w:rsidR="00621CC7">
        <w:rPr>
          <w:rFonts w:asciiTheme="majorHAnsi" w:eastAsia="Times New Roman" w:hAnsiTheme="majorHAnsi" w:cstheme="majorHAnsi"/>
          <w:color w:val="000000"/>
          <w:lang w:val="es-MX"/>
        </w:rPr>
        <w:t xml:space="preserve">renta </w:t>
      </w:r>
      <w:r w:rsidRPr="00767D9F">
        <w:rPr>
          <w:rFonts w:asciiTheme="majorHAnsi" w:eastAsia="Times New Roman" w:hAnsiTheme="majorHAnsi" w:cstheme="majorHAnsi"/>
          <w:color w:val="000000"/>
          <w:lang w:val="es-MX"/>
        </w:rPr>
        <w:t>del apartamento para establecer la elegibilidad para</w:t>
      </w:r>
      <w:r w:rsidR="00621CC7">
        <w:rPr>
          <w:rFonts w:asciiTheme="majorHAnsi" w:eastAsia="Times New Roman" w:hAnsiTheme="majorHAnsi" w:cstheme="majorHAnsi"/>
          <w:color w:val="000000"/>
          <w:lang w:val="es-MX"/>
        </w:rPr>
        <w:t xml:space="preserve"> </w:t>
      </w:r>
      <w:r w:rsidRPr="00767D9F">
        <w:rPr>
          <w:rFonts w:asciiTheme="majorHAnsi" w:eastAsia="Times New Roman" w:hAnsiTheme="majorHAnsi" w:cstheme="majorHAnsi"/>
          <w:color w:val="000000"/>
          <w:lang w:val="es-MX"/>
        </w:rPr>
        <w:t>permanecer en el apartamento o encontrar otro lugar donde vivir. En todos los casos, los miembros de la familia que permanezcan en el apartamento</w:t>
      </w:r>
      <w:r w:rsidR="00621CC7">
        <w:rPr>
          <w:rFonts w:asciiTheme="majorHAnsi" w:eastAsia="Times New Roman" w:hAnsiTheme="majorHAnsi" w:cstheme="majorHAnsi"/>
          <w:color w:val="000000"/>
          <w:lang w:val="es-MX"/>
        </w:rPr>
        <w:t xml:space="preserve"> </w:t>
      </w:r>
      <w:r w:rsidRPr="00767D9F">
        <w:rPr>
          <w:rFonts w:asciiTheme="majorHAnsi" w:eastAsia="Times New Roman" w:hAnsiTheme="majorHAnsi" w:cstheme="majorHAnsi"/>
          <w:color w:val="000000"/>
          <w:lang w:val="es-MX"/>
        </w:rPr>
        <w:t>tendrán que pagar un alquiler basado en los requisitos habituales del programa.</w:t>
      </w:r>
    </w:p>
    <w:p w14:paraId="575F4C28" w14:textId="77777777" w:rsidR="00621CC7" w:rsidRPr="00767D9F" w:rsidRDefault="00621CC7" w:rsidP="00767D9F">
      <w:pPr>
        <w:widowControl w:val="0"/>
        <w:spacing w:line="240" w:lineRule="auto"/>
        <w:ind w:right="74"/>
        <w:rPr>
          <w:rFonts w:asciiTheme="majorHAnsi" w:eastAsia="Times New Roman" w:hAnsiTheme="majorHAnsi" w:cstheme="majorHAnsi"/>
          <w:color w:val="000000"/>
          <w:lang w:val="es-MX"/>
        </w:rPr>
      </w:pPr>
    </w:p>
    <w:p w14:paraId="78B0462B" w14:textId="7DF9817B" w:rsidR="00767D9F" w:rsidRDefault="00767D9F" w:rsidP="00767D9F">
      <w:pPr>
        <w:widowControl w:val="0"/>
        <w:spacing w:line="240" w:lineRule="auto"/>
        <w:ind w:right="74"/>
        <w:rPr>
          <w:rFonts w:asciiTheme="majorHAnsi" w:eastAsia="Times New Roman" w:hAnsiTheme="majorHAnsi" w:cstheme="majorHAnsi"/>
          <w:b/>
          <w:bCs/>
          <w:color w:val="000000"/>
          <w:lang w:val="es-MX"/>
        </w:rPr>
      </w:pPr>
      <w:r w:rsidRPr="00621CC7">
        <w:rPr>
          <w:rFonts w:asciiTheme="majorHAnsi" w:eastAsia="Times New Roman" w:hAnsiTheme="majorHAnsi" w:cstheme="majorHAnsi"/>
          <w:b/>
          <w:bCs/>
          <w:color w:val="000000"/>
          <w:lang w:val="es-MX"/>
        </w:rPr>
        <w:t>Seguridad de los residentes</w:t>
      </w:r>
    </w:p>
    <w:p w14:paraId="67E93B8D" w14:textId="77777777" w:rsidR="00621CC7" w:rsidRPr="00621CC7" w:rsidRDefault="00621CC7" w:rsidP="00767D9F">
      <w:pPr>
        <w:widowControl w:val="0"/>
        <w:spacing w:line="240" w:lineRule="auto"/>
        <w:ind w:right="74"/>
        <w:rPr>
          <w:rFonts w:asciiTheme="majorHAnsi" w:eastAsia="Times New Roman" w:hAnsiTheme="majorHAnsi" w:cstheme="majorHAnsi"/>
          <w:b/>
          <w:bCs/>
          <w:color w:val="000000"/>
          <w:lang w:val="es-MX"/>
        </w:rPr>
      </w:pPr>
    </w:p>
    <w:p w14:paraId="7581A31A" w14:textId="70682CB8" w:rsidR="00767D9F" w:rsidRDefault="00767D9F" w:rsidP="00767D9F">
      <w:pPr>
        <w:widowControl w:val="0"/>
        <w:spacing w:line="240" w:lineRule="auto"/>
        <w:ind w:right="74"/>
        <w:rPr>
          <w:rFonts w:asciiTheme="majorHAnsi" w:eastAsia="Times New Roman" w:hAnsiTheme="majorHAnsi" w:cstheme="majorHAnsi"/>
          <w:color w:val="000000"/>
          <w:lang w:val="es-MX"/>
        </w:rPr>
      </w:pPr>
      <w:r w:rsidRPr="00767D9F">
        <w:rPr>
          <w:rFonts w:asciiTheme="majorHAnsi" w:eastAsia="Times New Roman" w:hAnsiTheme="majorHAnsi" w:cstheme="majorHAnsi"/>
          <w:color w:val="000000"/>
          <w:lang w:val="es-MX"/>
        </w:rPr>
        <w:t>Si los residentes desean pedir ayuda a una organización fuera de Connecticut, pueden ponerse en contacto con una de las</w:t>
      </w:r>
      <w:r w:rsidR="00621CC7">
        <w:rPr>
          <w:rFonts w:asciiTheme="majorHAnsi" w:eastAsia="Times New Roman" w:hAnsiTheme="majorHAnsi" w:cstheme="majorHAnsi"/>
          <w:color w:val="000000"/>
          <w:lang w:val="es-MX"/>
        </w:rPr>
        <w:t xml:space="preserve"> </w:t>
      </w:r>
      <w:r w:rsidRPr="00767D9F">
        <w:rPr>
          <w:rFonts w:asciiTheme="majorHAnsi" w:eastAsia="Times New Roman" w:hAnsiTheme="majorHAnsi" w:cstheme="majorHAnsi"/>
          <w:color w:val="000000"/>
          <w:lang w:val="es-MX"/>
        </w:rPr>
        <w:t>organizaciones enumeradas a continuación:</w:t>
      </w:r>
    </w:p>
    <w:p w14:paraId="552354D2" w14:textId="4779DB13" w:rsidR="00621CC7" w:rsidRDefault="00621CC7" w:rsidP="00767D9F">
      <w:pPr>
        <w:widowControl w:val="0"/>
        <w:spacing w:line="240" w:lineRule="auto"/>
        <w:ind w:right="74"/>
        <w:rPr>
          <w:rFonts w:asciiTheme="majorHAnsi" w:eastAsia="Times New Roman" w:hAnsiTheme="majorHAnsi" w:cstheme="majorHAnsi"/>
          <w:color w:val="000000"/>
          <w:lang w:val="es-MX"/>
        </w:rPr>
      </w:pPr>
    </w:p>
    <w:tbl>
      <w:tblPr>
        <w:tblStyle w:val="TableGrid"/>
        <w:tblW w:w="0" w:type="auto"/>
        <w:tblLook w:val="04A0" w:firstRow="1" w:lastRow="0" w:firstColumn="1" w:lastColumn="0" w:noHBand="0" w:noVBand="1"/>
      </w:tblPr>
      <w:tblGrid>
        <w:gridCol w:w="10070"/>
      </w:tblGrid>
      <w:tr w:rsidR="00621CC7" w14:paraId="00DBDB13" w14:textId="77777777" w:rsidTr="00621CC7">
        <w:tc>
          <w:tcPr>
            <w:tcW w:w="10269" w:type="dxa"/>
          </w:tcPr>
          <w:p w14:paraId="14891D87" w14:textId="4C77043C" w:rsidR="00621CC7" w:rsidRPr="00621CC7" w:rsidRDefault="00621CC7" w:rsidP="00621CC7">
            <w:pPr>
              <w:widowControl w:val="0"/>
              <w:ind w:right="74"/>
              <w:rPr>
                <w:rFonts w:asciiTheme="majorHAnsi" w:eastAsia="Times New Roman" w:hAnsiTheme="majorHAnsi" w:cstheme="majorHAnsi"/>
                <w:color w:val="000000"/>
                <w:lang w:val="es-MX"/>
              </w:rPr>
            </w:pPr>
            <w:r w:rsidRPr="00621CC7">
              <w:rPr>
                <w:rFonts w:asciiTheme="majorHAnsi" w:eastAsia="Times New Roman" w:hAnsiTheme="majorHAnsi" w:cstheme="majorHAnsi"/>
                <w:color w:val="000000"/>
                <w:lang w:val="es-MX"/>
              </w:rPr>
              <w:t xml:space="preserve">Línea Nacional de Violencia Doméstica al 1-800-799-7233. Para personas con impedimentos auditivos, la línea nacional llamando al 1-800-787-3224 (TTY). (Violencia doméstica) - Rape, Abuse &amp; </w:t>
            </w:r>
            <w:proofErr w:type="spellStart"/>
            <w:r w:rsidRPr="00621CC7">
              <w:rPr>
                <w:rFonts w:asciiTheme="majorHAnsi" w:eastAsia="Times New Roman" w:hAnsiTheme="majorHAnsi" w:cstheme="majorHAnsi"/>
                <w:color w:val="000000"/>
                <w:lang w:val="es-MX"/>
              </w:rPr>
              <w:t>Incest</w:t>
            </w:r>
            <w:proofErr w:type="spellEnd"/>
            <w:r w:rsidRPr="00621CC7">
              <w:rPr>
                <w:rFonts w:asciiTheme="majorHAnsi" w:eastAsia="Times New Roman" w:hAnsiTheme="majorHAnsi" w:cstheme="majorHAnsi"/>
                <w:color w:val="000000"/>
                <w:lang w:val="es-MX"/>
              </w:rPr>
              <w:t xml:space="preserve"> </w:t>
            </w:r>
            <w:proofErr w:type="spellStart"/>
            <w:r w:rsidRPr="00621CC7">
              <w:rPr>
                <w:rFonts w:asciiTheme="majorHAnsi" w:eastAsia="Times New Roman" w:hAnsiTheme="majorHAnsi" w:cstheme="majorHAnsi"/>
                <w:color w:val="000000"/>
                <w:lang w:val="es-MX"/>
              </w:rPr>
              <w:t>National</w:t>
            </w:r>
            <w:proofErr w:type="spellEnd"/>
          </w:p>
          <w:p w14:paraId="29255120" w14:textId="77777777" w:rsidR="00621CC7" w:rsidRDefault="00621CC7" w:rsidP="00621CC7">
            <w:pPr>
              <w:widowControl w:val="0"/>
              <w:ind w:right="74"/>
              <w:jc w:val="center"/>
              <w:rPr>
                <w:rFonts w:asciiTheme="majorHAnsi" w:eastAsia="Times New Roman" w:hAnsiTheme="majorHAnsi" w:cstheme="majorHAnsi"/>
                <w:color w:val="000000"/>
                <w:lang w:val="es-MX"/>
              </w:rPr>
            </w:pPr>
            <w:proofErr w:type="spellStart"/>
            <w:r w:rsidRPr="00621CC7">
              <w:rPr>
                <w:rFonts w:asciiTheme="majorHAnsi" w:eastAsia="Times New Roman" w:hAnsiTheme="majorHAnsi" w:cstheme="majorHAnsi"/>
                <w:color w:val="000000"/>
                <w:lang w:val="es-MX"/>
              </w:rPr>
              <w:t>Network's</w:t>
            </w:r>
            <w:proofErr w:type="spellEnd"/>
            <w:r w:rsidRPr="00621CC7">
              <w:rPr>
                <w:rFonts w:asciiTheme="majorHAnsi" w:eastAsia="Times New Roman" w:hAnsiTheme="majorHAnsi" w:cstheme="majorHAnsi"/>
                <w:color w:val="000000"/>
                <w:lang w:val="es-MX"/>
              </w:rPr>
              <w:t xml:space="preserve"> </w:t>
            </w:r>
            <w:proofErr w:type="spellStart"/>
            <w:r w:rsidRPr="00621CC7">
              <w:rPr>
                <w:rFonts w:asciiTheme="majorHAnsi" w:eastAsia="Times New Roman" w:hAnsiTheme="majorHAnsi" w:cstheme="majorHAnsi"/>
                <w:color w:val="000000"/>
                <w:lang w:val="es-MX"/>
              </w:rPr>
              <w:t>National</w:t>
            </w:r>
            <w:proofErr w:type="spellEnd"/>
            <w:r w:rsidRPr="00621CC7">
              <w:rPr>
                <w:rFonts w:asciiTheme="majorHAnsi" w:eastAsia="Times New Roman" w:hAnsiTheme="majorHAnsi" w:cstheme="majorHAnsi"/>
                <w:color w:val="000000"/>
                <w:lang w:val="es-MX"/>
              </w:rPr>
              <w:t xml:space="preserve"> (RAINN) Sexual </w:t>
            </w:r>
            <w:proofErr w:type="spellStart"/>
            <w:r w:rsidRPr="00621CC7">
              <w:rPr>
                <w:rFonts w:asciiTheme="majorHAnsi" w:eastAsia="Times New Roman" w:hAnsiTheme="majorHAnsi" w:cstheme="majorHAnsi"/>
                <w:color w:val="000000"/>
                <w:lang w:val="es-MX"/>
              </w:rPr>
              <w:t>Assault</w:t>
            </w:r>
            <w:proofErr w:type="spellEnd"/>
            <w:r w:rsidRPr="00621CC7">
              <w:rPr>
                <w:rFonts w:asciiTheme="majorHAnsi" w:eastAsia="Times New Roman" w:hAnsiTheme="majorHAnsi" w:cstheme="majorHAnsi"/>
                <w:color w:val="000000"/>
                <w:lang w:val="es-MX"/>
              </w:rPr>
              <w:t xml:space="preserve"> </w:t>
            </w:r>
            <w:proofErr w:type="spellStart"/>
            <w:r w:rsidRPr="00621CC7">
              <w:rPr>
                <w:rFonts w:asciiTheme="majorHAnsi" w:eastAsia="Times New Roman" w:hAnsiTheme="majorHAnsi" w:cstheme="majorHAnsi"/>
                <w:color w:val="000000"/>
                <w:lang w:val="es-MX"/>
              </w:rPr>
              <w:t>Hotline</w:t>
            </w:r>
            <w:proofErr w:type="spellEnd"/>
            <w:r w:rsidRPr="00621CC7">
              <w:rPr>
                <w:rFonts w:asciiTheme="majorHAnsi" w:eastAsia="Times New Roman" w:hAnsiTheme="majorHAnsi" w:cstheme="majorHAnsi"/>
                <w:color w:val="000000"/>
                <w:lang w:val="es-MX"/>
              </w:rPr>
              <w:t xml:space="preserve"> al 800-656- HOPE, o visite la línea directa en línea en</w:t>
            </w:r>
          </w:p>
          <w:p w14:paraId="0E5C2A9F" w14:textId="7E6A54D9" w:rsidR="00030BA5" w:rsidRDefault="00030BA5" w:rsidP="00621CC7">
            <w:pPr>
              <w:widowControl w:val="0"/>
              <w:ind w:right="74"/>
              <w:jc w:val="center"/>
              <w:rPr>
                <w:rFonts w:asciiTheme="majorHAnsi" w:eastAsia="Times New Roman" w:hAnsiTheme="majorHAnsi" w:cstheme="majorHAnsi"/>
                <w:color w:val="000000"/>
                <w:lang w:val="es-MX"/>
              </w:rPr>
            </w:pPr>
            <w:r>
              <w:rPr>
                <w:rFonts w:asciiTheme="majorHAnsi" w:eastAsia="Times New Roman" w:hAnsiTheme="majorHAnsi" w:cstheme="majorHAnsi"/>
                <w:color w:val="000000"/>
                <w:lang w:val="es-MX"/>
              </w:rPr>
              <w:t>https://ohl.rainn.org/onine/</w:t>
            </w:r>
          </w:p>
        </w:tc>
      </w:tr>
    </w:tbl>
    <w:p w14:paraId="28D64497" w14:textId="77777777" w:rsidR="00621CC7" w:rsidRPr="00767D9F" w:rsidRDefault="00621CC7" w:rsidP="00170308">
      <w:pPr>
        <w:widowControl w:val="0"/>
        <w:spacing w:line="240" w:lineRule="auto"/>
        <w:ind w:right="74"/>
        <w:rPr>
          <w:rFonts w:asciiTheme="majorHAnsi" w:eastAsia="Times New Roman" w:hAnsiTheme="majorHAnsi" w:cstheme="majorHAnsi"/>
          <w:color w:val="000000"/>
          <w:lang w:val="es-MX"/>
        </w:rPr>
      </w:pPr>
    </w:p>
    <w:sectPr w:rsidR="00621CC7" w:rsidRPr="00767D9F" w:rsidSect="00927119">
      <w:headerReference w:type="default" r:id="rId10"/>
      <w:footerReference w:type="even" r:id="rId11"/>
      <w:footerReference w:type="default" r:id="rId12"/>
      <w:headerReference w:type="first" r:id="rId13"/>
      <w:pgSz w:w="12240" w:h="15840"/>
      <w:pgMar w:top="1440" w:right="1080" w:bottom="1440" w:left="108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E0E6" w14:textId="77777777" w:rsidR="00503414" w:rsidRDefault="00503414" w:rsidP="006C2AF4">
      <w:pPr>
        <w:spacing w:line="240" w:lineRule="auto"/>
      </w:pPr>
      <w:r>
        <w:separator/>
      </w:r>
    </w:p>
  </w:endnote>
  <w:endnote w:type="continuationSeparator" w:id="0">
    <w:p w14:paraId="0396669D" w14:textId="77777777" w:rsidR="00503414" w:rsidRDefault="00503414" w:rsidP="006C2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4392229"/>
      <w:docPartObj>
        <w:docPartGallery w:val="Page Numbers (Bottom of Page)"/>
        <w:docPartUnique/>
      </w:docPartObj>
    </w:sdtPr>
    <w:sdtContent>
      <w:p w14:paraId="08FE37B0" w14:textId="0E2AAFC2" w:rsidR="006C2AF4" w:rsidRDefault="006C2AF4" w:rsidP="00844E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5E0BF9" w14:textId="77777777" w:rsidR="006C2AF4" w:rsidRDefault="006C2AF4" w:rsidP="006C2A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808027"/>
      <w:docPartObj>
        <w:docPartGallery w:val="Page Numbers (Bottom of Page)"/>
        <w:docPartUnique/>
      </w:docPartObj>
    </w:sdtPr>
    <w:sdtContent>
      <w:p w14:paraId="01562E68" w14:textId="64539B46" w:rsidR="006C2AF4" w:rsidRDefault="006C2AF4" w:rsidP="00844E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48C84CE" w14:textId="13C06F15" w:rsidR="006C2AF4" w:rsidRPr="00CD6723" w:rsidRDefault="006F7F4E" w:rsidP="00CD6723">
    <w:pPr>
      <w:widowControl w:val="0"/>
      <w:spacing w:line="240" w:lineRule="auto"/>
      <w:ind w:right="360"/>
      <w:jc w:val="center"/>
      <w:rPr>
        <w:rFonts w:asciiTheme="majorHAnsi" w:eastAsia="Times New Roman" w:hAnsiTheme="majorHAnsi" w:cstheme="majorHAnsi"/>
        <w:i/>
        <w:iCs/>
        <w:color w:val="000000"/>
        <w:sz w:val="20"/>
        <w:szCs w:val="20"/>
      </w:rPr>
    </w:pPr>
    <w:r w:rsidRPr="00CD6723">
      <w:rPr>
        <w:rFonts w:asciiTheme="majorHAnsi" w:eastAsia="Times New Roman" w:hAnsiTheme="majorHAnsi" w:cstheme="majorHAnsi"/>
        <w:i/>
        <w:iCs/>
        <w:color w:val="000000"/>
        <w:sz w:val="20"/>
        <w:szCs w:val="20"/>
      </w:rPr>
      <w:t>Information for Residents About the</w:t>
    </w:r>
    <w:r w:rsidR="00CD6723">
      <w:rPr>
        <w:rFonts w:asciiTheme="majorHAnsi" w:eastAsia="Times New Roman" w:hAnsiTheme="majorHAnsi" w:cstheme="majorHAnsi"/>
        <w:i/>
        <w:iCs/>
        <w:color w:val="000000"/>
        <w:sz w:val="20"/>
        <w:szCs w:val="20"/>
      </w:rPr>
      <w:t xml:space="preserve"> CT BOS</w:t>
    </w:r>
    <w:r w:rsidR="006C2AF4" w:rsidRPr="00CD6723">
      <w:rPr>
        <w:rFonts w:asciiTheme="majorHAnsi" w:eastAsia="Times New Roman" w:hAnsiTheme="majorHAnsi" w:cstheme="majorHAnsi"/>
        <w:i/>
        <w:iCs/>
        <w:color w:val="000000"/>
        <w:sz w:val="20"/>
        <w:szCs w:val="20"/>
      </w:rPr>
      <w:t xml:space="preserve"> Emergency Transfer Plan</w:t>
    </w:r>
    <w:r w:rsidR="00CD6723" w:rsidRPr="00CD6723">
      <w:rPr>
        <w:rFonts w:asciiTheme="majorHAnsi" w:eastAsia="Times New Roman" w:hAnsiTheme="majorHAnsi" w:cstheme="majorHAnsi"/>
        <w:i/>
        <w:iCs/>
        <w:color w:val="000000"/>
        <w:sz w:val="20"/>
        <w:szCs w:val="20"/>
      </w:rPr>
      <w:t xml:space="preserve"> (</w:t>
    </w:r>
    <w:r w:rsidR="003709C0">
      <w:rPr>
        <w:rFonts w:asciiTheme="majorHAnsi" w:eastAsia="Times New Roman" w:hAnsiTheme="majorHAnsi" w:cstheme="majorHAnsi"/>
        <w:i/>
        <w:iCs/>
        <w:color w:val="000000"/>
        <w:sz w:val="20"/>
        <w:szCs w:val="20"/>
      </w:rPr>
      <w:t>November</w:t>
    </w:r>
    <w:r w:rsidR="00CD6723" w:rsidRPr="00CD6723">
      <w:rPr>
        <w:rFonts w:asciiTheme="majorHAnsi" w:eastAsia="Times New Roman" w:hAnsiTheme="majorHAnsi" w:cstheme="majorHAnsi"/>
        <w:i/>
        <w:iCs/>
        <w:color w:val="000000"/>
        <w:sz w:val="20"/>
        <w:szCs w:val="20"/>
      </w:rPr>
      <w:t xml:space="preserve"> 2022)</w:t>
    </w:r>
  </w:p>
  <w:p w14:paraId="1D5F6703" w14:textId="24E12953" w:rsidR="006C2AF4" w:rsidRDefault="006C2AF4">
    <w:pPr>
      <w:pStyle w:val="Footer"/>
    </w:pPr>
  </w:p>
  <w:p w14:paraId="5B299AC6" w14:textId="77777777" w:rsidR="006C2AF4" w:rsidRDefault="006C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F3EE" w14:textId="77777777" w:rsidR="00503414" w:rsidRDefault="00503414" w:rsidP="006C2AF4">
      <w:pPr>
        <w:spacing w:line="240" w:lineRule="auto"/>
      </w:pPr>
      <w:r>
        <w:separator/>
      </w:r>
    </w:p>
  </w:footnote>
  <w:footnote w:type="continuationSeparator" w:id="0">
    <w:p w14:paraId="67BCC068" w14:textId="77777777" w:rsidR="00503414" w:rsidRDefault="00503414" w:rsidP="006C2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EA30" w14:textId="0EB8AAAD" w:rsidR="0088768D" w:rsidRDefault="0088768D">
    <w:pPr>
      <w:pStyle w:val="Header"/>
    </w:pPr>
    <w:r w:rsidRPr="007A3FE5">
      <w:rPr>
        <w:rFonts w:asciiTheme="majorHAnsi" w:eastAsia="Times New Roman" w:hAnsiTheme="majorHAnsi" w:cstheme="majorHAnsi"/>
        <w:noProof/>
        <w:color w:val="000000"/>
      </w:rPr>
      <w:drawing>
        <wp:anchor distT="0" distB="0" distL="114300" distR="114300" simplePos="0" relativeHeight="251661312" behindDoc="0" locked="0" layoutInCell="1" allowOverlap="1" wp14:anchorId="5D78714F" wp14:editId="6C0F0D9B">
          <wp:simplePos x="0" y="0"/>
          <wp:positionH relativeFrom="margin">
            <wp:align>left</wp:align>
          </wp:positionH>
          <wp:positionV relativeFrom="paragraph">
            <wp:posOffset>152400</wp:posOffset>
          </wp:positionV>
          <wp:extent cx="6515100" cy="5924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515100" cy="592455"/>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23F0" w14:textId="3D602B39" w:rsidR="0088768D" w:rsidRDefault="0088768D">
    <w:pPr>
      <w:pStyle w:val="Header"/>
    </w:pPr>
    <w:r w:rsidRPr="007A3FE5">
      <w:rPr>
        <w:rFonts w:asciiTheme="majorHAnsi" w:eastAsia="Times New Roman" w:hAnsiTheme="majorHAnsi" w:cstheme="majorHAnsi"/>
        <w:noProof/>
        <w:color w:val="000000"/>
      </w:rPr>
      <w:drawing>
        <wp:anchor distT="0" distB="0" distL="114300" distR="114300" simplePos="0" relativeHeight="251659264" behindDoc="0" locked="0" layoutInCell="1" allowOverlap="1" wp14:anchorId="2D670B0A" wp14:editId="7E078791">
          <wp:simplePos x="0" y="0"/>
          <wp:positionH relativeFrom="margin">
            <wp:align>left</wp:align>
          </wp:positionH>
          <wp:positionV relativeFrom="paragraph">
            <wp:posOffset>228600</wp:posOffset>
          </wp:positionV>
          <wp:extent cx="6515100" cy="59245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515100" cy="59245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338"/>
    <w:multiLevelType w:val="hybridMultilevel"/>
    <w:tmpl w:val="035E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0D64"/>
    <w:multiLevelType w:val="hybridMultilevel"/>
    <w:tmpl w:val="F55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3877"/>
    <w:multiLevelType w:val="multilevel"/>
    <w:tmpl w:val="DC265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0F707B"/>
    <w:multiLevelType w:val="hybridMultilevel"/>
    <w:tmpl w:val="026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0802"/>
    <w:multiLevelType w:val="hybridMultilevel"/>
    <w:tmpl w:val="CC16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95D52"/>
    <w:multiLevelType w:val="hybridMultilevel"/>
    <w:tmpl w:val="77B03E38"/>
    <w:lvl w:ilvl="0" w:tplc="04090001">
      <w:start w:val="1"/>
      <w:numFmt w:val="bullet"/>
      <w:lvlText w:val=""/>
      <w:lvlJc w:val="left"/>
      <w:pPr>
        <w:ind w:left="648"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6" w15:restartNumberingAfterBreak="0">
    <w:nsid w:val="47D16F16"/>
    <w:multiLevelType w:val="hybridMultilevel"/>
    <w:tmpl w:val="B7E66B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5722D47"/>
    <w:multiLevelType w:val="multilevel"/>
    <w:tmpl w:val="FE1ABC8E"/>
    <w:lvl w:ilvl="0">
      <w:start w:val="1"/>
      <w:numFmt w:val="decimal"/>
      <w:lvlText w:val="%1."/>
      <w:lvlJc w:val="left"/>
      <w:pPr>
        <w:ind w:left="1080" w:hanging="360"/>
      </w:pPr>
      <w:rPr>
        <w:rFonts w:asciiTheme="majorHAnsi" w:eastAsia="Calibri" w:hAnsiTheme="majorHAnsi" w:cstheme="majorHAnsi"/>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580B7002"/>
    <w:multiLevelType w:val="multilevel"/>
    <w:tmpl w:val="A4D61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CF55FB"/>
    <w:multiLevelType w:val="hybridMultilevel"/>
    <w:tmpl w:val="A8E85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3A56DEF"/>
    <w:multiLevelType w:val="hybridMultilevel"/>
    <w:tmpl w:val="596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F06AF"/>
    <w:multiLevelType w:val="hybridMultilevel"/>
    <w:tmpl w:val="25C0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737FE"/>
    <w:multiLevelType w:val="multilevel"/>
    <w:tmpl w:val="A3DA923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35530E"/>
    <w:multiLevelType w:val="multilevel"/>
    <w:tmpl w:val="23CA5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CE05D8"/>
    <w:multiLevelType w:val="multilevel"/>
    <w:tmpl w:val="A25C3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0589356">
    <w:abstractNumId w:val="14"/>
  </w:num>
  <w:num w:numId="2" w16cid:durableId="1074742215">
    <w:abstractNumId w:val="8"/>
  </w:num>
  <w:num w:numId="3" w16cid:durableId="2123835553">
    <w:abstractNumId w:val="13"/>
  </w:num>
  <w:num w:numId="4" w16cid:durableId="1726173784">
    <w:abstractNumId w:val="7"/>
  </w:num>
  <w:num w:numId="5" w16cid:durableId="1367946091">
    <w:abstractNumId w:val="2"/>
  </w:num>
  <w:num w:numId="6" w16cid:durableId="1121921039">
    <w:abstractNumId w:val="12"/>
  </w:num>
  <w:num w:numId="7" w16cid:durableId="2138719335">
    <w:abstractNumId w:val="10"/>
  </w:num>
  <w:num w:numId="8" w16cid:durableId="1747722272">
    <w:abstractNumId w:val="4"/>
  </w:num>
  <w:num w:numId="9" w16cid:durableId="1530220590">
    <w:abstractNumId w:val="3"/>
  </w:num>
  <w:num w:numId="10" w16cid:durableId="1477986602">
    <w:abstractNumId w:val="0"/>
  </w:num>
  <w:num w:numId="11" w16cid:durableId="114952142">
    <w:abstractNumId w:val="5"/>
  </w:num>
  <w:num w:numId="12" w16cid:durableId="163861935">
    <w:abstractNumId w:val="11"/>
  </w:num>
  <w:num w:numId="13" w16cid:durableId="2114394688">
    <w:abstractNumId w:val="6"/>
  </w:num>
  <w:num w:numId="14" w16cid:durableId="641694858">
    <w:abstractNumId w:val="1"/>
  </w:num>
  <w:num w:numId="15" w16cid:durableId="20358793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CC"/>
    <w:rsid w:val="00030BA5"/>
    <w:rsid w:val="000362AD"/>
    <w:rsid w:val="00061176"/>
    <w:rsid w:val="000A7AC1"/>
    <w:rsid w:val="000F3337"/>
    <w:rsid w:val="00147443"/>
    <w:rsid w:val="001574DB"/>
    <w:rsid w:val="00170308"/>
    <w:rsid w:val="001D67D8"/>
    <w:rsid w:val="00290D1F"/>
    <w:rsid w:val="002A43EB"/>
    <w:rsid w:val="002F1CBB"/>
    <w:rsid w:val="00320067"/>
    <w:rsid w:val="00326775"/>
    <w:rsid w:val="003709C0"/>
    <w:rsid w:val="00382AF3"/>
    <w:rsid w:val="003C11AF"/>
    <w:rsid w:val="003C4A97"/>
    <w:rsid w:val="003F1995"/>
    <w:rsid w:val="00424D2B"/>
    <w:rsid w:val="0047302C"/>
    <w:rsid w:val="00473741"/>
    <w:rsid w:val="00473CF6"/>
    <w:rsid w:val="004B6C0A"/>
    <w:rsid w:val="004C2026"/>
    <w:rsid w:val="00503414"/>
    <w:rsid w:val="00507D5B"/>
    <w:rsid w:val="00510C69"/>
    <w:rsid w:val="005746F7"/>
    <w:rsid w:val="00584624"/>
    <w:rsid w:val="00587533"/>
    <w:rsid w:val="005F6527"/>
    <w:rsid w:val="00621CC7"/>
    <w:rsid w:val="0067335E"/>
    <w:rsid w:val="00690434"/>
    <w:rsid w:val="006B6D63"/>
    <w:rsid w:val="006C2AF4"/>
    <w:rsid w:val="006E01D8"/>
    <w:rsid w:val="006F7F4E"/>
    <w:rsid w:val="00747AD9"/>
    <w:rsid w:val="00753A8D"/>
    <w:rsid w:val="0076070B"/>
    <w:rsid w:val="00767D9F"/>
    <w:rsid w:val="00777238"/>
    <w:rsid w:val="007861B9"/>
    <w:rsid w:val="00791207"/>
    <w:rsid w:val="007A3FE5"/>
    <w:rsid w:val="007F2DD3"/>
    <w:rsid w:val="00835DCC"/>
    <w:rsid w:val="008600AE"/>
    <w:rsid w:val="0088768D"/>
    <w:rsid w:val="008B3BBA"/>
    <w:rsid w:val="008E046B"/>
    <w:rsid w:val="00927119"/>
    <w:rsid w:val="009348AE"/>
    <w:rsid w:val="009700A2"/>
    <w:rsid w:val="009F0E41"/>
    <w:rsid w:val="00A73DDF"/>
    <w:rsid w:val="00AA633C"/>
    <w:rsid w:val="00AD09B4"/>
    <w:rsid w:val="00B42A60"/>
    <w:rsid w:val="00B477B1"/>
    <w:rsid w:val="00B827A0"/>
    <w:rsid w:val="00B922E3"/>
    <w:rsid w:val="00B9466E"/>
    <w:rsid w:val="00BB7AFF"/>
    <w:rsid w:val="00BD4EA4"/>
    <w:rsid w:val="00C02195"/>
    <w:rsid w:val="00C67ED4"/>
    <w:rsid w:val="00CB3DE6"/>
    <w:rsid w:val="00CD505D"/>
    <w:rsid w:val="00CD6723"/>
    <w:rsid w:val="00D65A77"/>
    <w:rsid w:val="00DD35F5"/>
    <w:rsid w:val="00E537A2"/>
    <w:rsid w:val="00E865CA"/>
    <w:rsid w:val="00ED65D1"/>
    <w:rsid w:val="00F0384B"/>
    <w:rsid w:val="00F17D68"/>
    <w:rsid w:val="00F84560"/>
    <w:rsid w:val="00FA0678"/>
    <w:rsid w:val="00F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F272A"/>
  <w15:docId w15:val="{CAD14764-3969-AA41-8807-A5398949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C2AF4"/>
    <w:pPr>
      <w:ind w:left="720"/>
      <w:contextualSpacing/>
    </w:pPr>
  </w:style>
  <w:style w:type="paragraph" w:styleId="Header">
    <w:name w:val="header"/>
    <w:basedOn w:val="Normal"/>
    <w:link w:val="HeaderChar"/>
    <w:uiPriority w:val="99"/>
    <w:unhideWhenUsed/>
    <w:rsid w:val="006C2AF4"/>
    <w:pPr>
      <w:tabs>
        <w:tab w:val="center" w:pos="4680"/>
        <w:tab w:val="right" w:pos="9360"/>
      </w:tabs>
      <w:spacing w:line="240" w:lineRule="auto"/>
    </w:pPr>
  </w:style>
  <w:style w:type="character" w:customStyle="1" w:styleId="HeaderChar">
    <w:name w:val="Header Char"/>
    <w:basedOn w:val="DefaultParagraphFont"/>
    <w:link w:val="Header"/>
    <w:uiPriority w:val="99"/>
    <w:rsid w:val="006C2AF4"/>
  </w:style>
  <w:style w:type="paragraph" w:styleId="Footer">
    <w:name w:val="footer"/>
    <w:basedOn w:val="Normal"/>
    <w:link w:val="FooterChar"/>
    <w:uiPriority w:val="99"/>
    <w:unhideWhenUsed/>
    <w:rsid w:val="006C2AF4"/>
    <w:pPr>
      <w:tabs>
        <w:tab w:val="center" w:pos="4680"/>
        <w:tab w:val="right" w:pos="9360"/>
      </w:tabs>
      <w:spacing w:line="240" w:lineRule="auto"/>
    </w:pPr>
  </w:style>
  <w:style w:type="character" w:customStyle="1" w:styleId="FooterChar">
    <w:name w:val="Footer Char"/>
    <w:basedOn w:val="DefaultParagraphFont"/>
    <w:link w:val="Footer"/>
    <w:uiPriority w:val="99"/>
    <w:rsid w:val="006C2AF4"/>
  </w:style>
  <w:style w:type="character" w:styleId="PageNumber">
    <w:name w:val="page number"/>
    <w:basedOn w:val="DefaultParagraphFont"/>
    <w:uiPriority w:val="99"/>
    <w:semiHidden/>
    <w:unhideWhenUsed/>
    <w:rsid w:val="006C2AF4"/>
  </w:style>
  <w:style w:type="table" w:styleId="TableGrid">
    <w:name w:val="Table Grid"/>
    <w:basedOn w:val="TableNormal"/>
    <w:uiPriority w:val="39"/>
    <w:rsid w:val="00C021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0E41"/>
    <w:pPr>
      <w:spacing w:line="240" w:lineRule="auto"/>
    </w:pPr>
  </w:style>
  <w:style w:type="character" w:styleId="CommentReference">
    <w:name w:val="annotation reference"/>
    <w:basedOn w:val="DefaultParagraphFont"/>
    <w:uiPriority w:val="99"/>
    <w:semiHidden/>
    <w:unhideWhenUsed/>
    <w:rsid w:val="00E865CA"/>
    <w:rPr>
      <w:sz w:val="16"/>
      <w:szCs w:val="16"/>
    </w:rPr>
  </w:style>
  <w:style w:type="paragraph" w:styleId="CommentText">
    <w:name w:val="annotation text"/>
    <w:basedOn w:val="Normal"/>
    <w:link w:val="CommentTextChar"/>
    <w:uiPriority w:val="99"/>
    <w:semiHidden/>
    <w:unhideWhenUsed/>
    <w:rsid w:val="00E865CA"/>
    <w:pPr>
      <w:spacing w:line="240" w:lineRule="auto"/>
    </w:pPr>
    <w:rPr>
      <w:sz w:val="20"/>
      <w:szCs w:val="20"/>
    </w:rPr>
  </w:style>
  <w:style w:type="character" w:customStyle="1" w:styleId="CommentTextChar">
    <w:name w:val="Comment Text Char"/>
    <w:basedOn w:val="DefaultParagraphFont"/>
    <w:link w:val="CommentText"/>
    <w:uiPriority w:val="99"/>
    <w:semiHidden/>
    <w:rsid w:val="00E865CA"/>
    <w:rPr>
      <w:sz w:val="20"/>
      <w:szCs w:val="20"/>
    </w:rPr>
  </w:style>
  <w:style w:type="paragraph" w:styleId="CommentSubject">
    <w:name w:val="annotation subject"/>
    <w:basedOn w:val="CommentText"/>
    <w:next w:val="CommentText"/>
    <w:link w:val="CommentSubjectChar"/>
    <w:uiPriority w:val="99"/>
    <w:semiHidden/>
    <w:unhideWhenUsed/>
    <w:rsid w:val="00E865CA"/>
    <w:rPr>
      <w:b/>
      <w:bCs/>
    </w:rPr>
  </w:style>
  <w:style w:type="character" w:customStyle="1" w:styleId="CommentSubjectChar">
    <w:name w:val="Comment Subject Char"/>
    <w:basedOn w:val="CommentTextChar"/>
    <w:link w:val="CommentSubject"/>
    <w:uiPriority w:val="99"/>
    <w:semiHidden/>
    <w:rsid w:val="00E865CA"/>
    <w:rPr>
      <w:b/>
      <w:bCs/>
      <w:sz w:val="20"/>
      <w:szCs w:val="20"/>
    </w:rPr>
  </w:style>
  <w:style w:type="paragraph" w:styleId="NoSpacing">
    <w:name w:val="No Spacing"/>
    <w:link w:val="NoSpacingChar"/>
    <w:uiPriority w:val="1"/>
    <w:qFormat/>
    <w:rsid w:val="004B6C0A"/>
    <w:pPr>
      <w:spacing w:line="240" w:lineRule="auto"/>
    </w:pPr>
    <w:rPr>
      <w:rFonts w:asciiTheme="minorHAnsi" w:eastAsiaTheme="minorEastAsia" w:hAnsiTheme="minorHAnsi" w:cstheme="minorBidi"/>
      <w:lang w:eastAsia="zh-CN"/>
    </w:rPr>
  </w:style>
  <w:style w:type="character" w:customStyle="1" w:styleId="NoSpacingChar">
    <w:name w:val="No Spacing Char"/>
    <w:basedOn w:val="DefaultParagraphFont"/>
    <w:link w:val="NoSpacing"/>
    <w:uiPriority w:val="1"/>
    <w:rsid w:val="004B6C0A"/>
    <w:rPr>
      <w:rFonts w:asciiTheme="minorHAnsi" w:eastAsiaTheme="minorEastAsia" w:hAnsiTheme="minorHAnsi" w:cstheme="minorBidi"/>
      <w:lang w:eastAsia="zh-CN"/>
    </w:rPr>
  </w:style>
  <w:style w:type="character" w:styleId="Hyperlink">
    <w:name w:val="Hyperlink"/>
    <w:basedOn w:val="DefaultParagraphFont"/>
    <w:uiPriority w:val="99"/>
    <w:unhideWhenUsed/>
    <w:rsid w:val="007F2DD3"/>
    <w:rPr>
      <w:color w:val="0000FF" w:themeColor="hyperlink"/>
      <w:u w:val="single"/>
    </w:rPr>
  </w:style>
  <w:style w:type="character" w:styleId="UnresolvedMention">
    <w:name w:val="Unresolved Mention"/>
    <w:basedOn w:val="DefaultParagraphFont"/>
    <w:uiPriority w:val="99"/>
    <w:semiHidden/>
    <w:unhideWhenUsed/>
    <w:rsid w:val="007F2DD3"/>
    <w:rPr>
      <w:color w:val="605E5C"/>
      <w:shd w:val="clear" w:color="auto" w:fill="E1DFDD"/>
    </w:rPr>
  </w:style>
  <w:style w:type="paragraph" w:styleId="BodyText">
    <w:name w:val="Body Text"/>
    <w:basedOn w:val="Normal"/>
    <w:link w:val="BodyTextChar"/>
    <w:uiPriority w:val="99"/>
    <w:unhideWhenUsed/>
    <w:rsid w:val="00B9466E"/>
    <w:pPr>
      <w:spacing w:after="120"/>
    </w:pPr>
  </w:style>
  <w:style w:type="character" w:customStyle="1" w:styleId="BodyTextChar">
    <w:name w:val="Body Text Char"/>
    <w:basedOn w:val="DefaultParagraphFont"/>
    <w:link w:val="BodyText"/>
    <w:uiPriority w:val="99"/>
    <w:rsid w:val="00B9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tsafeconnec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tbos.org/wp-content/uploads/2020/11/Emergency-Transfer-Plan-for-DV-2018.08.1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tsafeconnec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 Coordinated Access Networks and CoC/ESG funded projects are required upon application, at project entry, and at annual recertification to: § inform all individuals/families seeking or receiving assistance, regardless of known DV survivor status, of their rights under the emergency transfer plan and of the process to seek a transfer. §  Provide a brief user-friendly notice that clearly explains the emergency transfer rights and process.</dc:subject>
  <dc:creator>lourdes fitzpatrick</dc:creator>
  <cp:lastModifiedBy>Shannon Quinn-Sheeran</cp:lastModifiedBy>
  <cp:revision>2</cp:revision>
  <cp:lastPrinted>2022-09-07T20:04:00Z</cp:lastPrinted>
  <dcterms:created xsi:type="dcterms:W3CDTF">2023-03-20T19:24:00Z</dcterms:created>
  <dcterms:modified xsi:type="dcterms:W3CDTF">2023-03-20T19:24:00Z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aefdbfdde4311e56e20f929b8318983a46e9c5bf023e6e2fc69af510657f2b66</vt:lpwstr>
  </property>
</Properties>
</file>